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F1F819" w14:textId="16E0818B" w:rsidR="00B83261" w:rsidRDefault="00B83261" w:rsidP="00B83261">
      <w:pPr>
        <w:jc w:val="center"/>
        <w:rPr>
          <w:rFonts w:eastAsia="Calibri"/>
        </w:rPr>
      </w:pPr>
      <w:bookmarkStart w:id="0" w:name="_Hlk33798347"/>
      <w:r>
        <w:rPr>
          <w:rFonts w:eastAsia="Calibri"/>
          <w:b/>
        </w:rPr>
        <w:t>DOCKET NO. 51481</w:t>
      </w:r>
    </w:p>
    <w:p w14:paraId="11C7B5A5" w14:textId="77777777" w:rsidR="00B83261" w:rsidRDefault="00B83261" w:rsidP="00B83261">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B83261" w14:paraId="47208225" w14:textId="77777777" w:rsidTr="00D87538">
        <w:trPr>
          <w:trHeight w:val="1512"/>
        </w:trPr>
        <w:tc>
          <w:tcPr>
            <w:tcW w:w="4590" w:type="dxa"/>
            <w:hideMark/>
          </w:tcPr>
          <w:p w14:paraId="359042B9" w14:textId="1AEC36EC" w:rsidR="00B83261" w:rsidRDefault="00B83261" w:rsidP="00B83261">
            <w:pPr>
              <w:widowControl w:val="0"/>
              <w:autoSpaceDE w:val="0"/>
              <w:autoSpaceDN w:val="0"/>
              <w:adjustRightInd w:val="0"/>
              <w:spacing w:line="240" w:lineRule="atLeast"/>
              <w:jc w:val="left"/>
              <w:rPr>
                <w:rFonts w:eastAsia="Times New Roman"/>
                <w:b/>
                <w:snapToGrid w:val="0"/>
              </w:rPr>
            </w:pPr>
            <w:r w:rsidRPr="006033C3">
              <w:rPr>
                <w:rFonts w:eastAsia="Times New Roman"/>
                <w:b/>
                <w:iCs/>
                <w:snapToGrid w:val="0"/>
              </w:rPr>
              <w:t>APPLICA</w:t>
            </w:r>
            <w:r>
              <w:rPr>
                <w:rFonts w:eastAsia="Times New Roman"/>
                <w:b/>
                <w:iCs/>
                <w:snapToGrid w:val="0"/>
              </w:rPr>
              <w:t>TI</w:t>
            </w:r>
            <w:r w:rsidRPr="006033C3">
              <w:rPr>
                <w:rFonts w:eastAsia="Times New Roman"/>
                <w:b/>
                <w:iCs/>
                <w:snapToGrid w:val="0"/>
              </w:rPr>
              <w:t xml:space="preserve">ON OF </w:t>
            </w:r>
            <w:r>
              <w:rPr>
                <w:rFonts w:eastAsia="Times New Roman"/>
                <w:b/>
                <w:iCs/>
                <w:snapToGrid w:val="0"/>
              </w:rPr>
              <w:t>CSWR-TEXAS UTILITY OPERATING</w:t>
            </w:r>
            <w:r w:rsidR="00BE555F">
              <w:rPr>
                <w:rFonts w:eastAsia="Times New Roman"/>
                <w:b/>
                <w:iCs/>
                <w:snapToGrid w:val="0"/>
              </w:rPr>
              <w:t xml:space="preserve"> COMPANY</w:t>
            </w:r>
            <w:r>
              <w:rPr>
                <w:rFonts w:eastAsia="Times New Roman"/>
                <w:b/>
                <w:iCs/>
                <w:snapToGrid w:val="0"/>
              </w:rPr>
              <w:t>, LLC FOR TEMPORARY RATES FOR A NONFUNCTIONING UTILITY</w:t>
            </w:r>
          </w:p>
        </w:tc>
        <w:tc>
          <w:tcPr>
            <w:tcW w:w="720" w:type="dxa"/>
          </w:tcPr>
          <w:p w14:paraId="7A5C8D7E" w14:textId="77777777" w:rsidR="00B83261" w:rsidRDefault="00B83261" w:rsidP="00F24CA5">
            <w:pPr>
              <w:widowControl w:val="0"/>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4BAD1641" w14:textId="77777777" w:rsidR="00B83261" w:rsidRDefault="00B83261" w:rsidP="00F24CA5">
            <w:pPr>
              <w:widowControl w:val="0"/>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4A3BA2A4" w14:textId="77777777" w:rsidR="00B83261" w:rsidRDefault="00B83261" w:rsidP="00F24CA5">
            <w:pPr>
              <w:widowControl w:val="0"/>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6CDB3E0C" w14:textId="77777777" w:rsidR="00B83261" w:rsidRDefault="00B83261" w:rsidP="00F24CA5">
            <w:pPr>
              <w:widowControl w:val="0"/>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392CEAA1" w14:textId="77777777" w:rsidR="00B83261" w:rsidRDefault="00B83261" w:rsidP="00F24CA5">
            <w:pPr>
              <w:widowControl w:val="0"/>
              <w:autoSpaceDE w:val="0"/>
              <w:autoSpaceDN w:val="0"/>
              <w:adjustRightInd w:val="0"/>
              <w:spacing w:line="240" w:lineRule="atLeast"/>
              <w:ind w:left="108" w:right="108"/>
              <w:rPr>
                <w:rFonts w:eastAsia="Times New Roman"/>
                <w:b/>
                <w:snapToGrid w:val="0"/>
                <w:color w:val="000000"/>
              </w:rPr>
            </w:pPr>
          </w:p>
        </w:tc>
        <w:tc>
          <w:tcPr>
            <w:tcW w:w="4090" w:type="dxa"/>
          </w:tcPr>
          <w:p w14:paraId="15B2EAD3" w14:textId="77777777" w:rsidR="00B83261" w:rsidRDefault="00B83261" w:rsidP="00BE555F">
            <w:pPr>
              <w:widowControl w:val="0"/>
              <w:autoSpaceDE w:val="0"/>
              <w:autoSpaceDN w:val="0"/>
              <w:adjustRightInd w:val="0"/>
              <w:spacing w:line="240" w:lineRule="atLeast"/>
              <w:ind w:right="108"/>
              <w:jc w:val="center"/>
              <w:rPr>
                <w:rFonts w:eastAsia="Times New Roman"/>
                <w:b/>
                <w:snapToGrid w:val="0"/>
                <w:color w:val="000000"/>
              </w:rPr>
            </w:pPr>
          </w:p>
          <w:p w14:paraId="0BE74BF7" w14:textId="77777777" w:rsidR="00B83261" w:rsidRDefault="00B83261" w:rsidP="00F24CA5">
            <w:pPr>
              <w:widowControl w:val="0"/>
              <w:autoSpaceDE w:val="0"/>
              <w:autoSpaceDN w:val="0"/>
              <w:adjustRightInd w:val="0"/>
              <w:spacing w:line="240" w:lineRule="atLeast"/>
              <w:ind w:right="108"/>
              <w:jc w:val="center"/>
              <w:rPr>
                <w:rFonts w:eastAsia="Times New Roman"/>
                <w:b/>
                <w:snapToGrid w:val="0"/>
                <w:color w:val="000000"/>
              </w:rPr>
            </w:pPr>
            <w:r>
              <w:rPr>
                <w:rFonts w:eastAsia="Times New Roman"/>
                <w:b/>
                <w:snapToGrid w:val="0"/>
                <w:color w:val="000000"/>
              </w:rPr>
              <w:t>PUBLIC UTILITY COMMISSION</w:t>
            </w:r>
          </w:p>
          <w:p w14:paraId="4359F5C2" w14:textId="77777777" w:rsidR="00B83261" w:rsidRDefault="00B83261" w:rsidP="00F24CA5">
            <w:pPr>
              <w:widowControl w:val="0"/>
              <w:autoSpaceDE w:val="0"/>
              <w:autoSpaceDN w:val="0"/>
              <w:adjustRightInd w:val="0"/>
              <w:spacing w:line="240" w:lineRule="atLeast"/>
              <w:ind w:right="108"/>
              <w:jc w:val="center"/>
              <w:rPr>
                <w:rFonts w:eastAsia="Times New Roman"/>
                <w:b/>
                <w:snapToGrid w:val="0"/>
                <w:color w:val="000000"/>
              </w:rPr>
            </w:pPr>
          </w:p>
          <w:p w14:paraId="6D35E1B3" w14:textId="77777777" w:rsidR="00B83261" w:rsidRDefault="00B83261" w:rsidP="00F24CA5">
            <w:pPr>
              <w:widowControl w:val="0"/>
              <w:autoSpaceDE w:val="0"/>
              <w:autoSpaceDN w:val="0"/>
              <w:adjustRightInd w:val="0"/>
              <w:spacing w:line="240" w:lineRule="atLeast"/>
              <w:ind w:right="108"/>
              <w:jc w:val="center"/>
              <w:rPr>
                <w:rFonts w:eastAsia="Times New Roman"/>
                <w:b/>
                <w:snapToGrid w:val="0"/>
                <w:color w:val="000000"/>
              </w:rPr>
            </w:pPr>
            <w:r>
              <w:rPr>
                <w:rFonts w:eastAsia="Times New Roman"/>
                <w:b/>
                <w:snapToGrid w:val="0"/>
                <w:color w:val="000000"/>
              </w:rPr>
              <w:t>OF TEXAS</w:t>
            </w:r>
          </w:p>
        </w:tc>
      </w:tr>
      <w:bookmarkEnd w:id="0"/>
    </w:tbl>
    <w:p w14:paraId="0FCE382D" w14:textId="77777777" w:rsidR="002D6C33" w:rsidRDefault="002D6C33" w:rsidP="003E6E4D">
      <w:pPr>
        <w:tabs>
          <w:tab w:val="clear" w:pos="720"/>
        </w:tabs>
        <w:jc w:val="center"/>
        <w:rPr>
          <w:rFonts w:ascii="Times New Roman Bold" w:eastAsia="Times New Roman" w:hAnsi="Times New Roman Bold"/>
          <w:b/>
          <w:caps/>
          <w:snapToGrid w:val="0"/>
          <w:kern w:val="28"/>
          <w:lang w:eastAsia="zh-TW"/>
        </w:rPr>
      </w:pPr>
    </w:p>
    <w:p w14:paraId="1BFD5388" w14:textId="23321B13" w:rsidR="003E6E4D" w:rsidRPr="001F14E6" w:rsidRDefault="001F14E6" w:rsidP="003E6E4D">
      <w:pPr>
        <w:tabs>
          <w:tab w:val="clear" w:pos="720"/>
        </w:tabs>
        <w:jc w:val="center"/>
        <w:rPr>
          <w:rFonts w:ascii="Times New Roman Bold" w:eastAsia="Times New Roman" w:hAnsi="Times New Roman Bold"/>
          <w:b/>
          <w:caps/>
          <w:snapToGrid w:val="0"/>
          <w:kern w:val="28"/>
          <w:u w:val="single"/>
          <w:lang w:eastAsia="zh-TW"/>
        </w:rPr>
      </w:pPr>
      <w:r w:rsidRPr="001F14E6">
        <w:rPr>
          <w:rFonts w:ascii="Times New Roman Bold" w:eastAsia="Times New Roman" w:hAnsi="Times New Roman Bold"/>
          <w:b/>
          <w:caps/>
          <w:snapToGrid w:val="0"/>
          <w:kern w:val="28"/>
          <w:u w:val="single"/>
          <w:lang w:eastAsia="zh-TW"/>
        </w:rPr>
        <w:t>joint proposed notice of approval</w:t>
      </w:r>
    </w:p>
    <w:p w14:paraId="77D79130" w14:textId="77777777" w:rsidR="003E6E4D" w:rsidRPr="003E6E4D" w:rsidRDefault="003E6E4D" w:rsidP="003E6E4D">
      <w:pPr>
        <w:tabs>
          <w:tab w:val="clear" w:pos="720"/>
        </w:tabs>
        <w:jc w:val="center"/>
        <w:rPr>
          <w:rFonts w:ascii="Times New Roman Bold" w:eastAsia="Times New Roman" w:hAnsi="Times New Roman Bold"/>
          <w:b/>
          <w:caps/>
          <w:snapToGrid w:val="0"/>
          <w:kern w:val="28"/>
          <w:lang w:eastAsia="zh-TW"/>
        </w:rPr>
      </w:pPr>
    </w:p>
    <w:p w14:paraId="60BB1B30" w14:textId="63469F67" w:rsidR="00885222" w:rsidRDefault="003E6E4D" w:rsidP="00A02C9E">
      <w:pPr>
        <w:pStyle w:val="BodyText"/>
        <w:spacing w:line="360" w:lineRule="auto"/>
      </w:pPr>
      <w:r>
        <w:tab/>
      </w:r>
      <w:r w:rsidR="00FC0D70">
        <w:t xml:space="preserve">This Notice addresses the application of </w:t>
      </w:r>
      <w:r w:rsidRPr="0097705C">
        <w:t>CSWR</w:t>
      </w:r>
      <w:r>
        <w:t>-</w:t>
      </w:r>
      <w:r w:rsidRPr="0097705C">
        <w:t>Texas Utility Operating</w:t>
      </w:r>
      <w:r w:rsidR="00E72FA5">
        <w:t xml:space="preserve"> </w:t>
      </w:r>
      <w:r w:rsidRPr="0097705C">
        <w:t>Company, LLC (CSWR Texas)</w:t>
      </w:r>
      <w:r w:rsidR="00FC0D70">
        <w:t xml:space="preserve"> for temporary water utility and sewer utility rates</w:t>
      </w:r>
      <w:r w:rsidR="007B2540">
        <w:t xml:space="preserve"> for a nonfunctioning utility</w:t>
      </w:r>
      <w:r w:rsidR="00FC0D70">
        <w:t>.  CSWR Texas requests approval of these rates in order to provide continuous and adequate service.  Public Utility Commission of Texas (Commission) Staff recommended adjustments to the temporary water utility and sewer utility rates and recommended that the application be approved as adjusted.</w:t>
      </w:r>
      <w:r w:rsidR="00BE555F">
        <w:t xml:space="preserve"> </w:t>
      </w:r>
      <w:r w:rsidR="00BE555F" w:rsidRPr="00BE555F">
        <w:t>The application is approved.</w:t>
      </w:r>
    </w:p>
    <w:p w14:paraId="2BA4A867" w14:textId="28203368" w:rsidR="00FC0D70" w:rsidRDefault="00FC0D70" w:rsidP="00A02C9E">
      <w:pPr>
        <w:pStyle w:val="BodyText"/>
        <w:spacing w:line="360" w:lineRule="auto"/>
      </w:pPr>
      <w:r>
        <w:tab/>
        <w:t>The Commission adopts the following findings of fact and conclusions of law:</w:t>
      </w:r>
    </w:p>
    <w:p w14:paraId="4C36B3AB" w14:textId="46861F22" w:rsidR="007B501E" w:rsidRDefault="00FC0D70" w:rsidP="00783EF8">
      <w:pPr>
        <w:pStyle w:val="CROutline1"/>
      </w:pPr>
      <w:r>
        <w:t>Findings of Fact</w:t>
      </w:r>
    </w:p>
    <w:p w14:paraId="0FA0599C" w14:textId="2D2AE67F" w:rsidR="00FC0D70" w:rsidRDefault="00590CF6" w:rsidP="00A02C9E">
      <w:pPr>
        <w:spacing w:line="360" w:lineRule="auto"/>
        <w:rPr>
          <w:b/>
          <w:bCs/>
          <w:i/>
          <w:iCs/>
          <w:u w:val="single"/>
        </w:rPr>
      </w:pPr>
      <w:r>
        <w:rPr>
          <w:b/>
          <w:bCs/>
          <w:i/>
          <w:iCs/>
          <w:u w:val="single"/>
        </w:rPr>
        <w:t>Applicant and Other Interested Persons</w:t>
      </w:r>
    </w:p>
    <w:p w14:paraId="2FFDD52A" w14:textId="6D5F86E3" w:rsidR="00FC0D70" w:rsidRDefault="00590CF6" w:rsidP="000229ED">
      <w:pPr>
        <w:pStyle w:val="ListParagraph"/>
        <w:numPr>
          <w:ilvl w:val="0"/>
          <w:numId w:val="3"/>
        </w:numPr>
        <w:tabs>
          <w:tab w:val="clear" w:pos="720"/>
          <w:tab w:val="left" w:pos="630"/>
        </w:tabs>
        <w:spacing w:line="360" w:lineRule="auto"/>
        <w:ind w:left="630" w:hanging="630"/>
      </w:pPr>
      <w:r>
        <w:t>CSWR Texas conducts business under the legal name CSWR.</w:t>
      </w:r>
    </w:p>
    <w:p w14:paraId="04C6AC14" w14:textId="79F12216" w:rsidR="00590CF6" w:rsidRDefault="00590CF6" w:rsidP="000229ED">
      <w:pPr>
        <w:pStyle w:val="ListParagraph"/>
        <w:numPr>
          <w:ilvl w:val="0"/>
          <w:numId w:val="3"/>
        </w:numPr>
        <w:tabs>
          <w:tab w:val="clear" w:pos="720"/>
          <w:tab w:val="left" w:pos="630"/>
        </w:tabs>
        <w:spacing w:line="360" w:lineRule="auto"/>
        <w:ind w:left="630" w:hanging="630"/>
      </w:pPr>
      <w:r>
        <w:t>On September 24, 2020, in Docket No. 50851, the Commission appointed CSWR Texas as temporary manager of Castlecomb, a water system and on-site sewage facility that provides retail water and wastewater service to the Castlecomb and Kensington subdivisions located in Kerr County, Texas.</w:t>
      </w:r>
    </w:p>
    <w:p w14:paraId="6D2CD5C9" w14:textId="5296DC91" w:rsidR="00590CF6" w:rsidRDefault="00590CF6" w:rsidP="000229ED">
      <w:pPr>
        <w:pStyle w:val="ListParagraph"/>
        <w:numPr>
          <w:ilvl w:val="0"/>
          <w:numId w:val="3"/>
        </w:numPr>
        <w:tabs>
          <w:tab w:val="clear" w:pos="720"/>
          <w:tab w:val="left" w:pos="630"/>
        </w:tabs>
        <w:spacing w:line="360" w:lineRule="auto"/>
        <w:ind w:left="630" w:hanging="630"/>
      </w:pPr>
      <w:r>
        <w:t>The Castlecomb utility system is currently uncertificated.  The public water system is registered with the Texas Commission o</w:t>
      </w:r>
      <w:r w:rsidR="004E66AA">
        <w:t>n</w:t>
      </w:r>
      <w:r>
        <w:t xml:space="preserve"> Environmental </w:t>
      </w:r>
      <w:r w:rsidR="004E66AA">
        <w:t>Q</w:t>
      </w:r>
      <w:r>
        <w:t xml:space="preserve">uality (TCEQ) under </w:t>
      </w:r>
      <w:r w:rsidR="00ED263F">
        <w:t xml:space="preserve">Public Water System (PWS) </w:t>
      </w:r>
      <w:r>
        <w:t>identification number 1330163.</w:t>
      </w:r>
    </w:p>
    <w:p w14:paraId="600DE790" w14:textId="61D95EF7" w:rsidR="00590CF6" w:rsidRPr="00BE555F" w:rsidRDefault="00590CF6" w:rsidP="00A02C9E">
      <w:pPr>
        <w:tabs>
          <w:tab w:val="clear" w:pos="720"/>
          <w:tab w:val="left" w:pos="630"/>
        </w:tabs>
        <w:spacing w:line="360" w:lineRule="auto"/>
        <w:rPr>
          <w:b/>
          <w:bCs/>
          <w:i/>
          <w:iCs/>
          <w:u w:val="single"/>
        </w:rPr>
      </w:pPr>
      <w:r w:rsidRPr="00590CF6">
        <w:rPr>
          <w:b/>
          <w:bCs/>
          <w:i/>
          <w:iCs/>
          <w:u w:val="single"/>
        </w:rPr>
        <w:t>Application</w:t>
      </w:r>
    </w:p>
    <w:p w14:paraId="2A44906E" w14:textId="5FEE17BD" w:rsidR="00590CF6" w:rsidRDefault="00590CF6" w:rsidP="000229ED">
      <w:pPr>
        <w:pStyle w:val="ListParagraph"/>
        <w:numPr>
          <w:ilvl w:val="0"/>
          <w:numId w:val="3"/>
        </w:numPr>
        <w:tabs>
          <w:tab w:val="clear" w:pos="720"/>
          <w:tab w:val="left" w:pos="630"/>
        </w:tabs>
        <w:spacing w:line="360" w:lineRule="auto"/>
        <w:ind w:left="630" w:hanging="630"/>
      </w:pPr>
      <w:r>
        <w:t>On November 2, 2020, CSWR Texas filed with the Commission an application for temporary rates pursuant to Texas Water Code (TWC) § 13.046 and 16 Texas Administrative Code (TAC) § 24.363.</w:t>
      </w:r>
    </w:p>
    <w:p w14:paraId="4C11A578" w14:textId="3D1F4AAE" w:rsidR="00590CF6" w:rsidRDefault="00590CF6" w:rsidP="000229ED">
      <w:pPr>
        <w:pStyle w:val="ListParagraph"/>
        <w:numPr>
          <w:ilvl w:val="0"/>
          <w:numId w:val="3"/>
        </w:numPr>
        <w:tabs>
          <w:tab w:val="clear" w:pos="720"/>
          <w:tab w:val="left" w:pos="630"/>
        </w:tabs>
        <w:spacing w:line="360" w:lineRule="auto"/>
        <w:ind w:left="630" w:hanging="630"/>
      </w:pPr>
      <w:r>
        <w:lastRenderedPageBreak/>
        <w:t>The application requests approval of temporary rates in order to ensure sufficient funds are available to keep the water and s</w:t>
      </w:r>
      <w:r w:rsidR="00314652">
        <w:t>ewage facility operating properly within regulatory requirements.  In addition</w:t>
      </w:r>
      <w:r w:rsidR="004E66AA">
        <w:t>,</w:t>
      </w:r>
      <w:r w:rsidR="00314652">
        <w:t xml:space="preserve"> the temporary rate increase will allow for compensation to the temporary manager to make emergency repairs and required improvements on the system in order to begin to bring the system into compliance with the rules of the Commission and the TCEQ.</w:t>
      </w:r>
    </w:p>
    <w:p w14:paraId="6A10266A" w14:textId="3B1FB19B" w:rsidR="00314652" w:rsidRDefault="00314652" w:rsidP="000229ED">
      <w:pPr>
        <w:pStyle w:val="ListParagraph"/>
        <w:numPr>
          <w:ilvl w:val="0"/>
          <w:numId w:val="3"/>
        </w:numPr>
        <w:tabs>
          <w:tab w:val="clear" w:pos="720"/>
          <w:tab w:val="left" w:pos="630"/>
        </w:tabs>
        <w:spacing w:line="360" w:lineRule="auto"/>
        <w:ind w:left="630" w:hanging="630"/>
      </w:pPr>
      <w:r>
        <w:t>In Order No. 2, issued on December 2, 2020, the administrative law judge (ALJ) found the application administratively complete.</w:t>
      </w:r>
    </w:p>
    <w:p w14:paraId="1E2C7300" w14:textId="41AA9C78" w:rsidR="00590CF6" w:rsidRDefault="00314652" w:rsidP="000229ED">
      <w:pPr>
        <w:pStyle w:val="ListParagraph"/>
        <w:numPr>
          <w:ilvl w:val="0"/>
          <w:numId w:val="3"/>
        </w:numPr>
        <w:tabs>
          <w:tab w:val="clear" w:pos="720"/>
          <w:tab w:val="left" w:pos="630"/>
        </w:tabs>
        <w:spacing w:line="360" w:lineRule="auto"/>
        <w:ind w:left="630" w:hanging="630"/>
      </w:pPr>
      <w:r>
        <w:t>On December 18, 2020, CSWR Texas filed supplemental documentation requested by Commission Staff regarding monthly operating costs, costs of repairs made to the system, and other costs.</w:t>
      </w:r>
    </w:p>
    <w:p w14:paraId="49418EC5" w14:textId="00988564" w:rsidR="00314652" w:rsidRDefault="004E66AA" w:rsidP="000229ED">
      <w:pPr>
        <w:pStyle w:val="ListParagraph"/>
        <w:numPr>
          <w:ilvl w:val="0"/>
          <w:numId w:val="3"/>
        </w:numPr>
        <w:tabs>
          <w:tab w:val="clear" w:pos="720"/>
          <w:tab w:val="left" w:pos="630"/>
        </w:tabs>
        <w:spacing w:line="360" w:lineRule="auto"/>
        <w:ind w:left="630" w:hanging="630"/>
      </w:pPr>
      <w:r>
        <w:t>O</w:t>
      </w:r>
      <w:r w:rsidRPr="004E66AA">
        <w:t>n January 4, 2021</w:t>
      </w:r>
      <w:r>
        <w:t xml:space="preserve">, </w:t>
      </w:r>
      <w:r w:rsidR="00314652">
        <w:t xml:space="preserve">CSWR Texas </w:t>
      </w:r>
      <w:r w:rsidR="002F13D3">
        <w:t>provided supplemental information in response to discovery</w:t>
      </w:r>
      <w:r>
        <w:t xml:space="preserve"> requests</w:t>
      </w:r>
      <w:r w:rsidR="002F13D3">
        <w:t xml:space="preserve"> from </w:t>
      </w:r>
      <w:r>
        <w:t xml:space="preserve">Commission </w:t>
      </w:r>
      <w:r w:rsidR="002F13D3">
        <w:t>Staff.</w:t>
      </w:r>
    </w:p>
    <w:p w14:paraId="62BED5D4" w14:textId="7641F137" w:rsidR="002F13D3" w:rsidRDefault="00314652" w:rsidP="000229ED">
      <w:pPr>
        <w:pStyle w:val="ListParagraph"/>
        <w:numPr>
          <w:ilvl w:val="0"/>
          <w:numId w:val="3"/>
        </w:numPr>
        <w:tabs>
          <w:tab w:val="clear" w:pos="720"/>
          <w:tab w:val="left" w:pos="630"/>
        </w:tabs>
        <w:spacing w:line="360" w:lineRule="auto"/>
        <w:ind w:left="630" w:hanging="630"/>
      </w:pPr>
      <w:r>
        <w:t xml:space="preserve">On January 11, 2021, </w:t>
      </w:r>
      <w:r w:rsidR="004E66AA">
        <w:t xml:space="preserve">Commission </w:t>
      </w:r>
      <w:r>
        <w:t xml:space="preserve">Staff </w:t>
      </w:r>
      <w:r w:rsidR="004E66AA" w:rsidRPr="004E66AA">
        <w:t>filed its recommendation on final disposition</w:t>
      </w:r>
      <w:r w:rsidR="004E66AA">
        <w:t xml:space="preserve">, </w:t>
      </w:r>
      <w:r>
        <w:t>recommend</w:t>
      </w:r>
      <w:r w:rsidR="004E66AA">
        <w:t>ing</w:t>
      </w:r>
      <w:r>
        <w:t xml:space="preserve"> approval of the application and proposed tariffs with adjustments made to the temporary water utility and sewer utility rates</w:t>
      </w:r>
      <w:r w:rsidR="007B2540">
        <w:t xml:space="preserve"> proposed by CSWR Texas</w:t>
      </w:r>
      <w:r>
        <w:t>.</w:t>
      </w:r>
    </w:p>
    <w:p w14:paraId="75CDF038" w14:textId="77777777" w:rsidR="004E66AA" w:rsidRPr="00BE555F" w:rsidRDefault="004E66AA" w:rsidP="004E66AA">
      <w:pPr>
        <w:tabs>
          <w:tab w:val="clear" w:pos="720"/>
          <w:tab w:val="left" w:pos="630"/>
        </w:tabs>
        <w:spacing w:line="360" w:lineRule="auto"/>
        <w:rPr>
          <w:b/>
          <w:bCs/>
          <w:i/>
          <w:iCs/>
          <w:u w:val="single"/>
        </w:rPr>
      </w:pPr>
      <w:r w:rsidRPr="002F13D3">
        <w:rPr>
          <w:b/>
          <w:bCs/>
          <w:i/>
          <w:iCs/>
          <w:u w:val="single"/>
        </w:rPr>
        <w:t>Notice</w:t>
      </w:r>
    </w:p>
    <w:p w14:paraId="78859B49" w14:textId="7F835B94" w:rsidR="004E66AA" w:rsidRDefault="004E66AA" w:rsidP="000229ED">
      <w:pPr>
        <w:pStyle w:val="ListParagraph"/>
        <w:numPr>
          <w:ilvl w:val="0"/>
          <w:numId w:val="3"/>
        </w:numPr>
        <w:tabs>
          <w:tab w:val="clear" w:pos="720"/>
          <w:tab w:val="left" w:pos="630"/>
        </w:tabs>
        <w:spacing w:line="360" w:lineRule="auto"/>
        <w:ind w:left="630" w:hanging="630"/>
      </w:pPr>
      <w:r>
        <w:t>On October 26, 202</w:t>
      </w:r>
      <w:r w:rsidR="00D87538">
        <w:t>0</w:t>
      </w:r>
      <w:r>
        <w:t>, CSWR Texas mailed notice of the application to all Castlecomb customers of the temporary rate pursuant to TWC § 13.4312 and 16 TAC § 24.363.</w:t>
      </w:r>
    </w:p>
    <w:p w14:paraId="3C2FCD7E" w14:textId="256D8937" w:rsidR="004E66AA" w:rsidRPr="004E66AA" w:rsidRDefault="004E66AA" w:rsidP="000229ED">
      <w:pPr>
        <w:pStyle w:val="ListParagraph"/>
        <w:numPr>
          <w:ilvl w:val="0"/>
          <w:numId w:val="3"/>
        </w:numPr>
        <w:tabs>
          <w:tab w:val="clear" w:pos="720"/>
          <w:tab w:val="left" w:pos="630"/>
        </w:tabs>
        <w:spacing w:line="360" w:lineRule="auto"/>
        <w:ind w:left="630" w:hanging="630"/>
      </w:pPr>
      <w:r>
        <w:t>In Order No. 2, issued on December 2, 2020, the ALJ found the notice sufficient.</w:t>
      </w:r>
    </w:p>
    <w:p w14:paraId="307FFF2D" w14:textId="77777777" w:rsidR="004E66AA" w:rsidRDefault="004E66AA" w:rsidP="004E66AA">
      <w:pPr>
        <w:tabs>
          <w:tab w:val="clear" w:pos="720"/>
          <w:tab w:val="left" w:pos="630"/>
        </w:tabs>
        <w:spacing w:line="360" w:lineRule="auto"/>
      </w:pPr>
      <w:r w:rsidRPr="002F13D3">
        <w:rPr>
          <w:b/>
          <w:bCs/>
          <w:i/>
          <w:iCs/>
          <w:u w:val="single"/>
        </w:rPr>
        <w:t>Evidentiary Record</w:t>
      </w:r>
    </w:p>
    <w:p w14:paraId="396D1ECA" w14:textId="57E17198" w:rsidR="004E66AA" w:rsidRDefault="004E66AA" w:rsidP="000229ED">
      <w:pPr>
        <w:pStyle w:val="ListParagraph"/>
        <w:numPr>
          <w:ilvl w:val="0"/>
          <w:numId w:val="3"/>
        </w:numPr>
        <w:tabs>
          <w:tab w:val="clear" w:pos="720"/>
          <w:tab w:val="left" w:pos="630"/>
        </w:tabs>
        <w:spacing w:line="360" w:lineRule="auto"/>
        <w:ind w:left="630" w:hanging="630"/>
      </w:pPr>
      <w:r>
        <w:t>On January 25, 2021, CSWR Texas and Commission Staff filed a joint motion to admit evidence.</w:t>
      </w:r>
    </w:p>
    <w:p w14:paraId="27C9771C" w14:textId="60D7B151" w:rsidR="004E66AA" w:rsidRPr="004E66AA" w:rsidRDefault="004E66AA" w:rsidP="000229ED">
      <w:pPr>
        <w:pStyle w:val="ListParagraph"/>
        <w:numPr>
          <w:ilvl w:val="0"/>
          <w:numId w:val="3"/>
        </w:numPr>
        <w:tabs>
          <w:tab w:val="clear" w:pos="720"/>
          <w:tab w:val="left" w:pos="630"/>
        </w:tabs>
        <w:spacing w:line="360" w:lineRule="auto"/>
        <w:ind w:left="630" w:hanging="630"/>
      </w:pPr>
      <w:r>
        <w:t>In Order No. 4 filed on _________, 2021 the ALJ admitted the following evidence into the record of this proceeding: (1) CSWR Texas’s  Application filed on November 2, 2020, (2) CSWR Texas’s Response to Staff’s Request for Documentation filed on December 18, 2020, (3) CSWR Texas’s Response to Staff’s 1</w:t>
      </w:r>
      <w:r w:rsidRPr="004E66AA">
        <w:t>st</w:t>
      </w:r>
      <w:r>
        <w:t xml:space="preserve"> Request for Information (RFI) filed on January 4, 2021, (4) CSWR Texas’s Response to Staff’s 2</w:t>
      </w:r>
      <w:r w:rsidRPr="004E66AA">
        <w:t>nd</w:t>
      </w:r>
      <w:r>
        <w:t xml:space="preserve"> RFI filed on January 4, 2021, </w:t>
      </w:r>
      <w:r>
        <w:lastRenderedPageBreak/>
        <w:t>and (5) Commission Staff’s Recommendation on Final Disposition, including the attached Staff memoranda and proposed water utility tariff and sewer utility tariff filed on January</w:t>
      </w:r>
      <w:r w:rsidR="00D87538">
        <w:t> </w:t>
      </w:r>
      <w:r>
        <w:t>11, 2021.</w:t>
      </w:r>
    </w:p>
    <w:p w14:paraId="26E5FA4F" w14:textId="77777777" w:rsidR="004E66AA" w:rsidRPr="00BE555F" w:rsidRDefault="004E66AA" w:rsidP="004E66AA">
      <w:pPr>
        <w:tabs>
          <w:tab w:val="clear" w:pos="720"/>
          <w:tab w:val="left" w:pos="630"/>
        </w:tabs>
        <w:spacing w:line="360" w:lineRule="auto"/>
        <w:rPr>
          <w:b/>
          <w:bCs/>
          <w:u w:val="single"/>
        </w:rPr>
      </w:pPr>
      <w:r w:rsidRPr="00A02C9E">
        <w:rPr>
          <w:b/>
          <w:bCs/>
          <w:i/>
          <w:iCs/>
          <w:u w:val="single"/>
        </w:rPr>
        <w:t>Reasonableness of Temporary Rates</w:t>
      </w:r>
    </w:p>
    <w:p w14:paraId="5FC0702E" w14:textId="77777777" w:rsidR="004E66AA" w:rsidRDefault="004E66AA" w:rsidP="000229ED">
      <w:pPr>
        <w:pStyle w:val="ListParagraph"/>
        <w:numPr>
          <w:ilvl w:val="0"/>
          <w:numId w:val="3"/>
        </w:numPr>
        <w:tabs>
          <w:tab w:val="clear" w:pos="720"/>
          <w:tab w:val="left" w:pos="630"/>
        </w:tabs>
        <w:spacing w:line="360" w:lineRule="auto"/>
        <w:ind w:left="630" w:hanging="630"/>
      </w:pPr>
      <w:r>
        <w:t>The application requested a monthly flat rate for water service of $62.50 per month per connection and a flat rate for sewer service of $62.50 per month per connection.  The application also requested a Temporary Manger’s fee of $7.50 per month per connection for water service and a Temporary Manger’s fee of $7.50 per month per connection for sewer service.</w:t>
      </w:r>
    </w:p>
    <w:p w14:paraId="749C797D" w14:textId="50F8193F" w:rsidR="004E66AA" w:rsidRDefault="004E66AA" w:rsidP="000229ED">
      <w:pPr>
        <w:pStyle w:val="ListParagraph"/>
        <w:numPr>
          <w:ilvl w:val="0"/>
          <w:numId w:val="3"/>
        </w:numPr>
        <w:tabs>
          <w:tab w:val="clear" w:pos="720"/>
          <w:tab w:val="left" w:pos="630"/>
        </w:tabs>
        <w:spacing w:line="360" w:lineRule="auto"/>
        <w:ind w:left="630" w:hanging="630"/>
      </w:pPr>
      <w:r>
        <w:t>The temporary rates were effective September 25, 2020, consistent with CSWR Texas’s notice.</w:t>
      </w:r>
    </w:p>
    <w:p w14:paraId="31ED9604" w14:textId="561D5E28" w:rsidR="004E66AA" w:rsidRDefault="004E66AA" w:rsidP="000229ED">
      <w:pPr>
        <w:pStyle w:val="ListParagraph"/>
        <w:numPr>
          <w:ilvl w:val="0"/>
          <w:numId w:val="3"/>
        </w:numPr>
        <w:tabs>
          <w:tab w:val="clear" w:pos="720"/>
          <w:tab w:val="left" w:pos="630"/>
        </w:tabs>
        <w:spacing w:line="360" w:lineRule="auto"/>
        <w:ind w:left="630" w:hanging="630"/>
      </w:pPr>
      <w:r>
        <w:t xml:space="preserve">In its Recommendation on Final Disposition, </w:t>
      </w:r>
      <w:r w:rsidR="00C167B0">
        <w:t xml:space="preserve">Commission </w:t>
      </w:r>
      <w:r>
        <w:t xml:space="preserve">Staff recommended yearly costs for the water system of $15,307.08 and yearly costs for the sewer system of $19,220.00.  </w:t>
      </w:r>
      <w:r w:rsidR="00D63BB9">
        <w:t xml:space="preserve">Commission </w:t>
      </w:r>
      <w:r>
        <w:t>Staff also recommended a surcharge for CSWR Texas to recover one-time only fees already expended by CSWR Texas.</w:t>
      </w:r>
    </w:p>
    <w:p w14:paraId="02A0D69F" w14:textId="3394128F" w:rsidR="004E66AA" w:rsidRDefault="004E66AA" w:rsidP="000229ED">
      <w:pPr>
        <w:pStyle w:val="ListParagraph"/>
        <w:numPr>
          <w:ilvl w:val="0"/>
          <w:numId w:val="3"/>
        </w:numPr>
        <w:tabs>
          <w:tab w:val="clear" w:pos="720"/>
          <w:tab w:val="left" w:pos="630"/>
        </w:tabs>
        <w:spacing w:line="360" w:lineRule="auto"/>
        <w:ind w:left="630" w:hanging="630"/>
      </w:pPr>
      <w:r>
        <w:t xml:space="preserve">For monthly sewer utility service, </w:t>
      </w:r>
      <w:r w:rsidR="00C167B0">
        <w:t xml:space="preserve">Commission </w:t>
      </w:r>
      <w:r>
        <w:t>Staff recommended a $64.67 flat rate, a $7.50 Temporary Manager’s fee, and a $7.54 surcharge for four months.</w:t>
      </w:r>
    </w:p>
    <w:p w14:paraId="6F5649F5" w14:textId="23D6FD15" w:rsidR="004E66AA" w:rsidRDefault="004E66AA" w:rsidP="000229ED">
      <w:pPr>
        <w:pStyle w:val="ListParagraph"/>
        <w:numPr>
          <w:ilvl w:val="0"/>
          <w:numId w:val="3"/>
        </w:numPr>
        <w:tabs>
          <w:tab w:val="clear" w:pos="720"/>
          <w:tab w:val="left" w:pos="630"/>
        </w:tabs>
        <w:spacing w:line="360" w:lineRule="auto"/>
        <w:ind w:left="630" w:hanging="630"/>
      </w:pPr>
      <w:r>
        <w:t xml:space="preserve">For monthly water service, </w:t>
      </w:r>
      <w:r w:rsidR="00C167B0">
        <w:t xml:space="preserve">Commission </w:t>
      </w:r>
      <w:r>
        <w:t>Staff recommended a $52.60 flat rate, a $7.50 Temporary Manager’s fee, and a $4.02 surcharge for four months.</w:t>
      </w:r>
    </w:p>
    <w:p w14:paraId="5C601EAF" w14:textId="528D2097" w:rsidR="004E66AA" w:rsidRDefault="004E66AA" w:rsidP="000229ED">
      <w:pPr>
        <w:pStyle w:val="ListParagraph"/>
        <w:numPr>
          <w:ilvl w:val="0"/>
          <w:numId w:val="3"/>
        </w:numPr>
        <w:tabs>
          <w:tab w:val="clear" w:pos="720"/>
          <w:tab w:val="left" w:pos="630"/>
        </w:tabs>
        <w:spacing w:line="360" w:lineRule="auto"/>
        <w:ind w:left="630" w:hanging="630"/>
      </w:pPr>
      <w:r>
        <w:t xml:space="preserve">The rates recommended by </w:t>
      </w:r>
      <w:r w:rsidR="00C167B0">
        <w:t xml:space="preserve">Commission </w:t>
      </w:r>
      <w:r>
        <w:t>Staff are reasonable for CSWR Texas to provide continuous and adequate water service for the customers of Castlecomb.</w:t>
      </w:r>
    </w:p>
    <w:p w14:paraId="69BAD163" w14:textId="4723F635" w:rsidR="00E70F29" w:rsidRDefault="004E66AA" w:rsidP="000229ED">
      <w:pPr>
        <w:pStyle w:val="ListParagraph"/>
        <w:numPr>
          <w:ilvl w:val="0"/>
          <w:numId w:val="3"/>
        </w:numPr>
        <w:tabs>
          <w:tab w:val="clear" w:pos="720"/>
          <w:tab w:val="left" w:pos="630"/>
        </w:tabs>
        <w:spacing w:line="360" w:lineRule="auto"/>
        <w:ind w:left="630" w:hanging="630"/>
      </w:pPr>
      <w:r>
        <w:t>The temporary rates and Temporary Ma</w:t>
      </w:r>
      <w:r w:rsidR="00E70F29">
        <w:t>na</w:t>
      </w:r>
      <w:r>
        <w:t>ger’s fee should remain</w:t>
      </w:r>
      <w:r w:rsidR="00E70F29">
        <w:t xml:space="preserve"> in effect</w:t>
      </w:r>
      <w:r>
        <w:t xml:space="preserve"> </w:t>
      </w:r>
      <w:r w:rsidR="00E70F29" w:rsidRPr="00E70F29">
        <w:t>until the Commission orders otherwise</w:t>
      </w:r>
      <w:r w:rsidR="00E70F29">
        <w:t>.</w:t>
      </w:r>
    </w:p>
    <w:p w14:paraId="49A930BC" w14:textId="65F44872" w:rsidR="00E70F29" w:rsidRDefault="00E70F29" w:rsidP="000229ED">
      <w:pPr>
        <w:pStyle w:val="ListParagraph"/>
        <w:numPr>
          <w:ilvl w:val="0"/>
          <w:numId w:val="3"/>
        </w:numPr>
        <w:tabs>
          <w:tab w:val="clear" w:pos="720"/>
          <w:tab w:val="left" w:pos="630"/>
        </w:tabs>
        <w:spacing w:line="360" w:lineRule="auto"/>
        <w:ind w:left="630" w:hanging="630"/>
      </w:pPr>
      <w:r w:rsidRPr="00E70F29">
        <w:t>The temporary rates should remain in effect even in the event that a new temporary manager or receiver is appointed.</w:t>
      </w:r>
    </w:p>
    <w:p w14:paraId="7BF4EED3" w14:textId="77777777" w:rsidR="00E70F29" w:rsidRPr="00ED263F" w:rsidRDefault="00E70F29" w:rsidP="00D87538">
      <w:pPr>
        <w:keepNext/>
        <w:keepLines/>
        <w:tabs>
          <w:tab w:val="clear" w:pos="720"/>
          <w:tab w:val="left" w:pos="630"/>
        </w:tabs>
        <w:spacing w:line="360" w:lineRule="auto"/>
        <w:rPr>
          <w:b/>
          <w:bCs/>
          <w:i/>
          <w:iCs/>
          <w:u w:val="single"/>
        </w:rPr>
      </w:pPr>
      <w:r w:rsidRPr="00ED263F">
        <w:rPr>
          <w:b/>
          <w:bCs/>
          <w:i/>
          <w:iCs/>
          <w:u w:val="single"/>
        </w:rPr>
        <w:lastRenderedPageBreak/>
        <w:t>Requirement for Monthly Documentation</w:t>
      </w:r>
    </w:p>
    <w:p w14:paraId="7E7B0FD5" w14:textId="6869F6FC" w:rsidR="00E70F29" w:rsidRDefault="00E70F29" w:rsidP="00D87538">
      <w:pPr>
        <w:pStyle w:val="ListParagraph"/>
        <w:keepNext/>
        <w:keepLines/>
        <w:numPr>
          <w:ilvl w:val="0"/>
          <w:numId w:val="3"/>
        </w:numPr>
        <w:tabs>
          <w:tab w:val="clear" w:pos="720"/>
          <w:tab w:val="left" w:pos="630"/>
        </w:tabs>
        <w:spacing w:line="360" w:lineRule="auto"/>
        <w:ind w:left="630" w:hanging="630"/>
      </w:pPr>
      <w:r>
        <w:t xml:space="preserve">In its Recommendation on Final Disposition, </w:t>
      </w:r>
      <w:r w:rsidR="00D63BB9">
        <w:t xml:space="preserve">Commission </w:t>
      </w:r>
      <w:r>
        <w:t xml:space="preserve">Staff recommended that CSWR Texas provide monthly documentation, by the last day of the month following the month in question, until the Temporary Manager’s term is completed.  </w:t>
      </w:r>
      <w:r w:rsidR="00D63BB9">
        <w:t xml:space="preserve">Commission </w:t>
      </w:r>
      <w:r>
        <w:t>Staff recommended that the documentation include:</w:t>
      </w:r>
    </w:p>
    <w:p w14:paraId="521B4FE5" w14:textId="3A1F495D" w:rsidR="00E70F29" w:rsidRDefault="00E70F29" w:rsidP="000229ED">
      <w:pPr>
        <w:pStyle w:val="ListParagraph"/>
        <w:numPr>
          <w:ilvl w:val="0"/>
          <w:numId w:val="6"/>
        </w:numPr>
        <w:tabs>
          <w:tab w:val="clear" w:pos="720"/>
          <w:tab w:val="left" w:pos="630"/>
        </w:tabs>
        <w:spacing w:line="360" w:lineRule="auto"/>
      </w:pPr>
      <w:r>
        <w:t>a summary of monthly operations, including revenues and expenses, with a detailed list of actual expenses incurred, including manager’s fees, repairs, chlorine, billing, operator costs, electricity, laboratory fees, and sampling costs;</w:t>
      </w:r>
    </w:p>
    <w:p w14:paraId="7CD4E538" w14:textId="594E8288" w:rsidR="00E70F29" w:rsidRDefault="00E70F29" w:rsidP="000229ED">
      <w:pPr>
        <w:pStyle w:val="ListParagraph"/>
        <w:numPr>
          <w:ilvl w:val="0"/>
          <w:numId w:val="6"/>
        </w:numPr>
        <w:tabs>
          <w:tab w:val="clear" w:pos="720"/>
          <w:tab w:val="left" w:pos="630"/>
        </w:tabs>
        <w:spacing w:line="360" w:lineRule="auto"/>
      </w:pPr>
      <w:r>
        <w:t>copies of invoices and receipts to support the actual cost of service;</w:t>
      </w:r>
    </w:p>
    <w:p w14:paraId="0E6A9E2B" w14:textId="52BD1D2B" w:rsidR="00E70F29" w:rsidRDefault="00E70F29" w:rsidP="000229ED">
      <w:pPr>
        <w:pStyle w:val="ListParagraph"/>
        <w:numPr>
          <w:ilvl w:val="0"/>
          <w:numId w:val="6"/>
        </w:numPr>
        <w:tabs>
          <w:tab w:val="clear" w:pos="720"/>
          <w:tab w:val="left" w:pos="630"/>
        </w:tabs>
        <w:spacing w:line="360" w:lineRule="auto"/>
      </w:pPr>
      <w:r>
        <w:t>the number of actual customers at the beginning and end of the month; and</w:t>
      </w:r>
    </w:p>
    <w:p w14:paraId="3107A4F7" w14:textId="2E86C441" w:rsidR="00E70F29" w:rsidRDefault="00E70F29" w:rsidP="000229ED">
      <w:pPr>
        <w:pStyle w:val="ListParagraph"/>
        <w:numPr>
          <w:ilvl w:val="0"/>
          <w:numId w:val="6"/>
        </w:numPr>
        <w:tabs>
          <w:tab w:val="clear" w:pos="720"/>
          <w:tab w:val="left" w:pos="630"/>
        </w:tabs>
        <w:spacing w:line="360" w:lineRule="auto"/>
      </w:pPr>
      <w:r>
        <w:t>a signed statement that a copy of the same information has been provided to the TCEQ.</w:t>
      </w:r>
    </w:p>
    <w:p w14:paraId="0D506270" w14:textId="77777777" w:rsidR="00E70F29" w:rsidRPr="00783EF8" w:rsidRDefault="00E70F29" w:rsidP="00E70F29">
      <w:pPr>
        <w:tabs>
          <w:tab w:val="clear" w:pos="720"/>
          <w:tab w:val="left" w:pos="630"/>
        </w:tabs>
        <w:spacing w:line="360" w:lineRule="auto"/>
        <w:rPr>
          <w:b/>
          <w:bCs/>
          <w:i/>
          <w:iCs/>
          <w:u w:val="single"/>
        </w:rPr>
      </w:pPr>
      <w:r w:rsidRPr="00783EF8">
        <w:rPr>
          <w:b/>
          <w:bCs/>
          <w:i/>
          <w:iCs/>
          <w:u w:val="single"/>
        </w:rPr>
        <w:t>Tar</w:t>
      </w:r>
      <w:r>
        <w:rPr>
          <w:b/>
          <w:bCs/>
          <w:i/>
          <w:iCs/>
          <w:u w:val="single"/>
        </w:rPr>
        <w:t>i</w:t>
      </w:r>
      <w:r w:rsidRPr="00783EF8">
        <w:rPr>
          <w:b/>
          <w:bCs/>
          <w:i/>
          <w:iCs/>
          <w:u w:val="single"/>
        </w:rPr>
        <w:t>ff</w:t>
      </w:r>
    </w:p>
    <w:p w14:paraId="0C27F6C7" w14:textId="61F248F2" w:rsidR="00E70F29" w:rsidRPr="00E70F29" w:rsidRDefault="00E70F29" w:rsidP="000229ED">
      <w:pPr>
        <w:pStyle w:val="ListParagraph"/>
        <w:numPr>
          <w:ilvl w:val="0"/>
          <w:numId w:val="3"/>
        </w:numPr>
        <w:tabs>
          <w:tab w:val="clear" w:pos="720"/>
          <w:tab w:val="left" w:pos="630"/>
        </w:tabs>
        <w:spacing w:line="360" w:lineRule="auto"/>
        <w:ind w:left="630" w:hanging="630"/>
      </w:pPr>
      <w:r>
        <w:t>On January 11, 2021, Commission Staff filed proposed tariffs as attachments to its Recommendation on Final Disposition.</w:t>
      </w:r>
    </w:p>
    <w:p w14:paraId="0078CCB1" w14:textId="4FB920B1" w:rsidR="00601999" w:rsidRPr="00BE555F" w:rsidRDefault="00601999" w:rsidP="00601999">
      <w:pPr>
        <w:tabs>
          <w:tab w:val="clear" w:pos="720"/>
          <w:tab w:val="left" w:pos="630"/>
        </w:tabs>
        <w:spacing w:line="360" w:lineRule="auto"/>
        <w:rPr>
          <w:b/>
          <w:bCs/>
          <w:i/>
          <w:iCs/>
          <w:u w:val="single"/>
        </w:rPr>
      </w:pPr>
      <w:r w:rsidRPr="00601999">
        <w:rPr>
          <w:b/>
          <w:bCs/>
          <w:i/>
          <w:iCs/>
          <w:u w:val="single"/>
        </w:rPr>
        <w:t>Informal Disposition</w:t>
      </w:r>
    </w:p>
    <w:p w14:paraId="7B4FC36D" w14:textId="4B6C5B01" w:rsidR="00601999" w:rsidRDefault="00601999" w:rsidP="000229ED">
      <w:pPr>
        <w:pStyle w:val="ListParagraph"/>
        <w:numPr>
          <w:ilvl w:val="0"/>
          <w:numId w:val="3"/>
        </w:numPr>
        <w:tabs>
          <w:tab w:val="clear" w:pos="720"/>
          <w:tab w:val="left" w:pos="630"/>
        </w:tabs>
        <w:spacing w:line="360" w:lineRule="auto"/>
        <w:ind w:left="630" w:hanging="630"/>
      </w:pPr>
      <w:r>
        <w:t xml:space="preserve">CSWR Texas and </w:t>
      </w:r>
      <w:r w:rsidR="00E70F29">
        <w:t xml:space="preserve">Commission </w:t>
      </w:r>
      <w:r>
        <w:t>Staff are the only parties to this proceeding.</w:t>
      </w:r>
    </w:p>
    <w:p w14:paraId="3EC8E57D" w14:textId="49858536" w:rsidR="00601999" w:rsidRDefault="00601999" w:rsidP="000229ED">
      <w:pPr>
        <w:pStyle w:val="ListParagraph"/>
        <w:numPr>
          <w:ilvl w:val="0"/>
          <w:numId w:val="3"/>
        </w:numPr>
        <w:tabs>
          <w:tab w:val="clear" w:pos="720"/>
          <w:tab w:val="left" w:pos="630"/>
        </w:tabs>
        <w:spacing w:line="360" w:lineRule="auto"/>
        <w:ind w:left="630" w:hanging="630"/>
      </w:pPr>
      <w:r>
        <w:t>More than 15 days have passed since completion of the notice in this docket.</w:t>
      </w:r>
    </w:p>
    <w:p w14:paraId="2254484E" w14:textId="2E99E524" w:rsidR="00601999" w:rsidRDefault="00601999" w:rsidP="000229ED">
      <w:pPr>
        <w:pStyle w:val="ListParagraph"/>
        <w:numPr>
          <w:ilvl w:val="0"/>
          <w:numId w:val="3"/>
        </w:numPr>
        <w:tabs>
          <w:tab w:val="clear" w:pos="720"/>
          <w:tab w:val="left" w:pos="630"/>
        </w:tabs>
        <w:spacing w:line="360" w:lineRule="auto"/>
        <w:ind w:left="630" w:hanging="630"/>
      </w:pPr>
      <w:r>
        <w:t>The Commission received no protests, motions to intervene, or requests for a hearing.</w:t>
      </w:r>
    </w:p>
    <w:p w14:paraId="492B6206" w14:textId="0482A389" w:rsidR="00601999" w:rsidRDefault="00601999" w:rsidP="000229ED">
      <w:pPr>
        <w:pStyle w:val="ListParagraph"/>
        <w:numPr>
          <w:ilvl w:val="0"/>
          <w:numId w:val="3"/>
        </w:numPr>
        <w:tabs>
          <w:tab w:val="clear" w:pos="720"/>
          <w:tab w:val="left" w:pos="630"/>
        </w:tabs>
        <w:spacing w:line="360" w:lineRule="auto"/>
        <w:ind w:left="630" w:hanging="630"/>
      </w:pPr>
      <w:r>
        <w:t>No issues of fact or law remain disputed by any party.</w:t>
      </w:r>
    </w:p>
    <w:p w14:paraId="076D506E" w14:textId="77777777" w:rsidR="0031569C" w:rsidRDefault="0031569C" w:rsidP="00783EF8">
      <w:pPr>
        <w:tabs>
          <w:tab w:val="clear" w:pos="720"/>
          <w:tab w:val="left" w:pos="630"/>
        </w:tabs>
        <w:spacing w:line="360" w:lineRule="auto"/>
      </w:pPr>
    </w:p>
    <w:p w14:paraId="06BD5142" w14:textId="42B00BA3" w:rsidR="00783EF8" w:rsidRPr="0031569C" w:rsidRDefault="00783EF8" w:rsidP="0031569C">
      <w:pPr>
        <w:pStyle w:val="CROutline1"/>
        <w:rPr>
          <w:b w:val="0"/>
          <w:bCs/>
          <w:u w:val="none"/>
        </w:rPr>
      </w:pPr>
      <w:r w:rsidRPr="00783EF8">
        <w:rPr>
          <w:b w:val="0"/>
          <w:bCs/>
          <w:u w:val="none"/>
        </w:rPr>
        <w:t>Conclusions of Law</w:t>
      </w:r>
    </w:p>
    <w:p w14:paraId="5A4F6EF8" w14:textId="7B21C2BF" w:rsidR="00783EF8" w:rsidRDefault="00783EF8" w:rsidP="00E70F29">
      <w:pPr>
        <w:tabs>
          <w:tab w:val="clear" w:pos="720"/>
          <w:tab w:val="left" w:pos="630"/>
        </w:tabs>
        <w:spacing w:after="120" w:line="360" w:lineRule="auto"/>
        <w:ind w:left="720"/>
      </w:pPr>
      <w:r>
        <w:t>The Commission makes the following conclusions of law.</w:t>
      </w:r>
    </w:p>
    <w:p w14:paraId="0C0721F5" w14:textId="592439D9" w:rsidR="00783EF8" w:rsidRDefault="00783EF8" w:rsidP="000229ED">
      <w:pPr>
        <w:pStyle w:val="ListParagraph"/>
        <w:numPr>
          <w:ilvl w:val="0"/>
          <w:numId w:val="4"/>
        </w:numPr>
        <w:tabs>
          <w:tab w:val="clear" w:pos="720"/>
          <w:tab w:val="left" w:pos="630"/>
        </w:tabs>
        <w:spacing w:line="360" w:lineRule="auto"/>
        <w:ind w:hanging="3870"/>
      </w:pPr>
      <w:r w:rsidRPr="00BE555F">
        <w:t>The Commission has authority over this proceeding under TWC §§ 13.041 and 13.046.</w:t>
      </w:r>
    </w:p>
    <w:p w14:paraId="5DCC1458" w14:textId="26B1A62C" w:rsidR="00BE555F" w:rsidRPr="00BE555F" w:rsidRDefault="00BE555F" w:rsidP="000229ED">
      <w:pPr>
        <w:pStyle w:val="ListParagraph"/>
        <w:numPr>
          <w:ilvl w:val="0"/>
          <w:numId w:val="4"/>
        </w:numPr>
        <w:tabs>
          <w:tab w:val="clear" w:pos="720"/>
          <w:tab w:val="left" w:pos="630"/>
        </w:tabs>
        <w:spacing w:line="360" w:lineRule="auto"/>
        <w:ind w:left="630" w:hanging="630"/>
      </w:pPr>
      <w:r w:rsidRPr="00BE555F">
        <w:t>Castlecomb is a retail public utility as defined in TWC § 13.002(19) and 16 TAC § 24.3(31) and a water utility as defined in TWC and § 13.002(23) and 16 TAC § 24.3(39).</w:t>
      </w:r>
    </w:p>
    <w:p w14:paraId="1712020B" w14:textId="7254750A" w:rsidR="00783EF8" w:rsidRPr="00BE555F" w:rsidRDefault="00783EF8" w:rsidP="000229ED">
      <w:pPr>
        <w:pStyle w:val="ListParagraph"/>
        <w:numPr>
          <w:ilvl w:val="0"/>
          <w:numId w:val="4"/>
        </w:numPr>
        <w:tabs>
          <w:tab w:val="clear" w:pos="720"/>
          <w:tab w:val="left" w:pos="630"/>
        </w:tabs>
        <w:spacing w:line="360" w:lineRule="auto"/>
        <w:ind w:left="630" w:hanging="630"/>
      </w:pPr>
      <w:r w:rsidRPr="00BE555F">
        <w:lastRenderedPageBreak/>
        <w:t>Public notice of the application was provided as required by TWC § 13.046 and 16 TAC § 24.363(b).</w:t>
      </w:r>
    </w:p>
    <w:p w14:paraId="2D1B028F" w14:textId="416207CA" w:rsidR="00783EF8" w:rsidRPr="00BE555F" w:rsidRDefault="00783EF8" w:rsidP="000229ED">
      <w:pPr>
        <w:pStyle w:val="ListParagraph"/>
        <w:numPr>
          <w:ilvl w:val="0"/>
          <w:numId w:val="4"/>
        </w:numPr>
        <w:tabs>
          <w:tab w:val="clear" w:pos="720"/>
          <w:tab w:val="left" w:pos="630"/>
        </w:tabs>
        <w:spacing w:line="360" w:lineRule="auto"/>
        <w:ind w:left="630" w:hanging="630"/>
      </w:pPr>
      <w:r w:rsidRPr="00BE555F">
        <w:t>The application was processed in accordance with the requirements of the Administrative Procedure Act,</w:t>
      </w:r>
      <w:r w:rsidR="00E70F29">
        <w:rPr>
          <w:rStyle w:val="FootnoteReference"/>
        </w:rPr>
        <w:footnoteReference w:id="1"/>
      </w:r>
      <w:r w:rsidRPr="00BE555F">
        <w:t xml:space="preserve"> TWC, and Commission rules.</w:t>
      </w:r>
    </w:p>
    <w:p w14:paraId="2AA6FF5A" w14:textId="0FF64B45" w:rsidR="00783EF8" w:rsidRPr="00BE555F" w:rsidRDefault="00783EF8" w:rsidP="000229ED">
      <w:pPr>
        <w:pStyle w:val="ListParagraph"/>
        <w:numPr>
          <w:ilvl w:val="0"/>
          <w:numId w:val="4"/>
        </w:numPr>
        <w:tabs>
          <w:tab w:val="clear" w:pos="720"/>
          <w:tab w:val="left" w:pos="630"/>
        </w:tabs>
        <w:spacing w:line="360" w:lineRule="auto"/>
        <w:ind w:left="630" w:hanging="630"/>
      </w:pPr>
      <w:r w:rsidRPr="00BE555F">
        <w:t>The temporary rates approved in this case are consistent with 16 TAC § 24.363(a), calculated to enable CSWR Texas to recover the reasonable costs incurred in making services available to the customers in Castlecomb</w:t>
      </w:r>
      <w:r w:rsidR="00D87538">
        <w:t>’s</w:t>
      </w:r>
      <w:r w:rsidRPr="00BE555F">
        <w:t xml:space="preserve"> service area and bringing the public water system number 1330163 and </w:t>
      </w:r>
      <w:r w:rsidR="007B2540" w:rsidRPr="00BE555F">
        <w:t>Castlecomb’s</w:t>
      </w:r>
      <w:r w:rsidRPr="00BE555F">
        <w:t xml:space="preserve"> on-site sewage facility into compliance with Commission and TCEQ rules.</w:t>
      </w:r>
    </w:p>
    <w:p w14:paraId="56EDEBA9" w14:textId="28EFDDF3" w:rsidR="00783EF8" w:rsidRPr="00BE555F" w:rsidRDefault="00783EF8" w:rsidP="000229ED">
      <w:pPr>
        <w:pStyle w:val="ListParagraph"/>
        <w:numPr>
          <w:ilvl w:val="0"/>
          <w:numId w:val="4"/>
        </w:numPr>
        <w:tabs>
          <w:tab w:val="clear" w:pos="720"/>
          <w:tab w:val="left" w:pos="630"/>
        </w:tabs>
        <w:spacing w:line="360" w:lineRule="auto"/>
        <w:ind w:left="630" w:hanging="630"/>
      </w:pPr>
      <w:r w:rsidRPr="00BE555F">
        <w:t>The temporary rates approved in this case are reasonable and consistent with TWC § 13.046.</w:t>
      </w:r>
    </w:p>
    <w:p w14:paraId="303E72A9" w14:textId="7B69E1F5" w:rsidR="00783EF8" w:rsidRPr="00BE555F" w:rsidRDefault="00783EF8" w:rsidP="000229ED">
      <w:pPr>
        <w:pStyle w:val="ListParagraph"/>
        <w:numPr>
          <w:ilvl w:val="0"/>
          <w:numId w:val="4"/>
        </w:numPr>
        <w:tabs>
          <w:tab w:val="clear" w:pos="720"/>
          <w:tab w:val="left" w:pos="630"/>
        </w:tabs>
        <w:spacing w:line="360" w:lineRule="auto"/>
        <w:ind w:left="630" w:hanging="630"/>
      </w:pPr>
      <w:r w:rsidRPr="00BE555F">
        <w:t xml:space="preserve">Under </w:t>
      </w:r>
      <w:r w:rsidR="00E70F29">
        <w:t>TWC</w:t>
      </w:r>
      <w:r w:rsidRPr="00BE555F">
        <w:t xml:space="preserve"> </w:t>
      </w:r>
      <w:r w:rsidR="0031569C" w:rsidRPr="00BE555F">
        <w:t xml:space="preserve">§ 13.046(c), CSWR Texas is </w:t>
      </w:r>
      <w:r w:rsidR="00826ADB" w:rsidRPr="00BE555F">
        <w:t xml:space="preserve">hereby </w:t>
      </w:r>
      <w:r w:rsidR="0031569C" w:rsidRPr="00BE555F">
        <w:t xml:space="preserve">given a reasonable time to bring the nonfunctioning system into compliance with Commission rules, including the requirement of obtaining a </w:t>
      </w:r>
      <w:r w:rsidR="00E70F29">
        <w:t>c</w:t>
      </w:r>
      <w:r w:rsidR="0031569C" w:rsidRPr="00BE555F">
        <w:t xml:space="preserve">ertificate of </w:t>
      </w:r>
      <w:r w:rsidR="00E70F29">
        <w:t>c</w:t>
      </w:r>
      <w:r w:rsidR="0031569C" w:rsidRPr="00BE555F">
        <w:t xml:space="preserve">onvenience and </w:t>
      </w:r>
      <w:r w:rsidR="00E70F29">
        <w:t>n</w:t>
      </w:r>
      <w:r w:rsidR="0031569C" w:rsidRPr="00BE555F">
        <w:t>ecessity.</w:t>
      </w:r>
    </w:p>
    <w:p w14:paraId="0D2E2B3D" w14:textId="77777777" w:rsidR="00BE555F" w:rsidRDefault="00601999" w:rsidP="000229ED">
      <w:pPr>
        <w:pStyle w:val="ListParagraph"/>
        <w:numPr>
          <w:ilvl w:val="0"/>
          <w:numId w:val="4"/>
        </w:numPr>
        <w:tabs>
          <w:tab w:val="clear" w:pos="720"/>
          <w:tab w:val="left" w:pos="630"/>
        </w:tabs>
        <w:spacing w:line="360" w:lineRule="auto"/>
        <w:ind w:left="630" w:hanging="630"/>
      </w:pPr>
      <w:r w:rsidRPr="00BE555F">
        <w:t>The requirements for informal disposition pursuant to 16 TAC § 22.35 have been met in this proceeding.</w:t>
      </w:r>
    </w:p>
    <w:p w14:paraId="35D86436" w14:textId="366E3FFC" w:rsidR="0031569C" w:rsidRDefault="0031569C" w:rsidP="00BE555F">
      <w:pPr>
        <w:pStyle w:val="CROutline1"/>
        <w:ind w:left="720"/>
        <w:rPr>
          <w:b w:val="0"/>
          <w:bCs/>
          <w:u w:val="none"/>
        </w:rPr>
      </w:pPr>
      <w:r w:rsidRPr="00BE555F">
        <w:rPr>
          <w:b w:val="0"/>
          <w:bCs/>
          <w:u w:val="none"/>
        </w:rPr>
        <w:t>Ordering Paragraphs</w:t>
      </w:r>
    </w:p>
    <w:p w14:paraId="69947DC4" w14:textId="682036CF" w:rsidR="004E66AA" w:rsidRDefault="004E66AA" w:rsidP="004E66AA">
      <w:pPr>
        <w:spacing w:line="360" w:lineRule="auto"/>
      </w:pPr>
      <w:r>
        <w:tab/>
        <w:t>In accordance with these findings of fact and conclusions of law, the Commission issues the following Order:</w:t>
      </w:r>
    </w:p>
    <w:p w14:paraId="51634378" w14:textId="77777777" w:rsidR="004E66AA" w:rsidRPr="004E66AA" w:rsidRDefault="004E66AA" w:rsidP="004E66AA"/>
    <w:p w14:paraId="334E5EC3" w14:textId="5F27BB1F" w:rsidR="0031569C" w:rsidRPr="00BE555F" w:rsidRDefault="0031569C" w:rsidP="000229ED">
      <w:pPr>
        <w:pStyle w:val="ListParagraph"/>
        <w:numPr>
          <w:ilvl w:val="0"/>
          <w:numId w:val="5"/>
        </w:numPr>
        <w:tabs>
          <w:tab w:val="clear" w:pos="720"/>
          <w:tab w:val="left" w:pos="630"/>
        </w:tabs>
        <w:spacing w:line="360" w:lineRule="auto"/>
        <w:ind w:left="630" w:hanging="630"/>
      </w:pPr>
      <w:r w:rsidRPr="00BE555F">
        <w:t xml:space="preserve">The Commission approves the temporary rate provisions </w:t>
      </w:r>
      <w:r w:rsidR="00E70F29">
        <w:t>contained in the</w:t>
      </w:r>
      <w:r w:rsidR="00E70F29" w:rsidRPr="00BE555F">
        <w:t xml:space="preserve"> </w:t>
      </w:r>
      <w:r w:rsidRPr="00BE555F">
        <w:t xml:space="preserve">proposed tariffs </w:t>
      </w:r>
      <w:r w:rsidR="00E70F29">
        <w:t>filed by</w:t>
      </w:r>
      <w:r w:rsidR="00E70F29" w:rsidRPr="00BE555F">
        <w:t xml:space="preserve"> </w:t>
      </w:r>
      <w:r w:rsidR="00E70F29">
        <w:t xml:space="preserve">Commission </w:t>
      </w:r>
      <w:r w:rsidRPr="00BE555F">
        <w:t>Staff</w:t>
      </w:r>
      <w:r w:rsidR="00E70F29">
        <w:t xml:space="preserve"> in its </w:t>
      </w:r>
      <w:r w:rsidRPr="00BE555F">
        <w:t>Recommendation on Final Disposition on January 11, 2021.</w:t>
      </w:r>
    </w:p>
    <w:p w14:paraId="1EFC9203" w14:textId="7C72EE02" w:rsidR="00610DA0" w:rsidRPr="00BE555F" w:rsidRDefault="00610DA0" w:rsidP="000229ED">
      <w:pPr>
        <w:pStyle w:val="ListParagraph"/>
        <w:numPr>
          <w:ilvl w:val="0"/>
          <w:numId w:val="5"/>
        </w:numPr>
        <w:tabs>
          <w:tab w:val="clear" w:pos="720"/>
          <w:tab w:val="left" w:pos="630"/>
        </w:tabs>
        <w:spacing w:line="360" w:lineRule="auto"/>
        <w:ind w:left="630" w:hanging="630"/>
      </w:pPr>
      <w:r w:rsidRPr="00BE555F">
        <w:t>For as long as CSWR Texas is the Temporary Manager</w:t>
      </w:r>
      <w:r w:rsidR="0094675C" w:rsidRPr="00BE555F">
        <w:t xml:space="preserve"> of Castlecomb</w:t>
      </w:r>
      <w:r w:rsidRPr="00BE555F">
        <w:t>, it must provide monthly documentation, by the last day of the month following the month in question</w:t>
      </w:r>
      <w:r w:rsidR="0094675C" w:rsidRPr="00BE555F">
        <w:t>:</w:t>
      </w:r>
      <w:r w:rsidRPr="00BE555F">
        <w:t xml:space="preserve"> (a) a summary of monthly operations, including revenues and expenses, with a detailed list of actual expenses incurred, including manager’s fees, repairs, chlorine, billing, operator costs, electricity, laboratory fees, and sampling costs; (b) copies of invoices and receipts to support </w:t>
      </w:r>
      <w:r w:rsidRPr="00BE555F">
        <w:lastRenderedPageBreak/>
        <w:t>the actual cost of service; (c) the number of actual customers at the beginning and end of the month; and (d) a signed statement that a copy of the same information has been provided to the TCEQ.</w:t>
      </w:r>
    </w:p>
    <w:p w14:paraId="2AE78F36" w14:textId="77777777" w:rsidR="00610DA0" w:rsidRPr="00BE555F" w:rsidRDefault="00610DA0" w:rsidP="000229ED">
      <w:pPr>
        <w:pStyle w:val="ListParagraph"/>
        <w:numPr>
          <w:ilvl w:val="0"/>
          <w:numId w:val="5"/>
        </w:numPr>
        <w:tabs>
          <w:tab w:val="clear" w:pos="720"/>
          <w:tab w:val="left" w:pos="630"/>
        </w:tabs>
        <w:spacing w:line="360" w:lineRule="auto"/>
        <w:ind w:left="630" w:hanging="630"/>
      </w:pPr>
      <w:r w:rsidRPr="00BE555F">
        <w:t>If the required monthly reports demonstrate a collection of excess funds as a result of the temporary rate, CSWR Texas must use excess funds for systems improvements and repairs.</w:t>
      </w:r>
    </w:p>
    <w:p w14:paraId="3772E971" w14:textId="70C91F16" w:rsidR="00610DA0" w:rsidRPr="00BE555F" w:rsidRDefault="00610DA0" w:rsidP="000229ED">
      <w:pPr>
        <w:pStyle w:val="ListParagraph"/>
        <w:numPr>
          <w:ilvl w:val="0"/>
          <w:numId w:val="5"/>
        </w:numPr>
        <w:tabs>
          <w:tab w:val="clear" w:pos="720"/>
          <w:tab w:val="left" w:pos="630"/>
        </w:tabs>
        <w:spacing w:line="360" w:lineRule="auto"/>
        <w:ind w:left="630" w:hanging="630"/>
      </w:pPr>
      <w:r w:rsidRPr="00BE555F">
        <w:t>If any overages were collected from customers for the months the requested rate was billed, issue no refunds to the customers.  Instead, the excess funds should be used to pay for system improvements and repairs and the liability reduced b</w:t>
      </w:r>
      <w:r w:rsidR="00601999" w:rsidRPr="00BE555F">
        <w:t>y</w:t>
      </w:r>
      <w:r w:rsidRPr="00BE555F">
        <w:t xml:space="preserve"> the amount incurred repairs and maintenance.</w:t>
      </w:r>
    </w:p>
    <w:p w14:paraId="7ECAFC5D" w14:textId="4BB8B1C8" w:rsidR="00610DA0" w:rsidRDefault="00610DA0" w:rsidP="000229ED">
      <w:pPr>
        <w:pStyle w:val="ListParagraph"/>
        <w:numPr>
          <w:ilvl w:val="0"/>
          <w:numId w:val="5"/>
        </w:numPr>
        <w:tabs>
          <w:tab w:val="clear" w:pos="720"/>
          <w:tab w:val="left" w:pos="630"/>
        </w:tabs>
        <w:spacing w:line="360" w:lineRule="auto"/>
        <w:ind w:left="630" w:hanging="630"/>
      </w:pPr>
      <w:r w:rsidRPr="00BE555F">
        <w:t>CSWR Texas</w:t>
      </w:r>
      <w:r w:rsidR="00601999" w:rsidRPr="00BE555F">
        <w:t xml:space="preserve"> may file for an additional or revised temporary rate for the nonfunctioning utility at a later date.</w:t>
      </w:r>
    </w:p>
    <w:p w14:paraId="0789341B" w14:textId="124289AD" w:rsidR="00781A9A" w:rsidRPr="00BE555F" w:rsidRDefault="00781A9A" w:rsidP="000229ED">
      <w:pPr>
        <w:pStyle w:val="ListParagraph"/>
        <w:numPr>
          <w:ilvl w:val="0"/>
          <w:numId w:val="5"/>
        </w:numPr>
        <w:tabs>
          <w:tab w:val="clear" w:pos="720"/>
          <w:tab w:val="left" w:pos="630"/>
        </w:tabs>
        <w:spacing w:line="360" w:lineRule="auto"/>
        <w:ind w:left="630" w:hanging="630"/>
      </w:pPr>
      <w:r w:rsidRPr="00781A9A">
        <w:t xml:space="preserve">Within ten days of the date of this Order, Commission Staff must provide a clean copy of the tariff approved by this Order to central records to be marked </w:t>
      </w:r>
      <w:r w:rsidRPr="00781A9A">
        <w:rPr>
          <w:i/>
          <w:iCs/>
        </w:rPr>
        <w:t>Approved</w:t>
      </w:r>
      <w:r w:rsidRPr="00781A9A">
        <w:t xml:space="preserve"> and filed in the Commission</w:t>
      </w:r>
      <w:r>
        <w:t>’</w:t>
      </w:r>
      <w:r w:rsidRPr="00781A9A">
        <w:t>s tariff books.</w:t>
      </w:r>
    </w:p>
    <w:p w14:paraId="436B0535" w14:textId="1DA87D87" w:rsidR="00601999" w:rsidRPr="00BE555F" w:rsidRDefault="00601999" w:rsidP="000229ED">
      <w:pPr>
        <w:pStyle w:val="ListParagraph"/>
        <w:numPr>
          <w:ilvl w:val="0"/>
          <w:numId w:val="5"/>
        </w:numPr>
        <w:tabs>
          <w:tab w:val="clear" w:pos="720"/>
          <w:tab w:val="left" w:pos="630"/>
        </w:tabs>
        <w:spacing w:line="360" w:lineRule="auto"/>
        <w:ind w:left="630" w:hanging="630"/>
      </w:pPr>
      <w:r w:rsidRPr="00BE555F">
        <w:t>The Commission denies all other motions and any other requests for general or specific relief, if not expressly granted herein.</w:t>
      </w:r>
    </w:p>
    <w:p w14:paraId="07B82758" w14:textId="3ECA0E12" w:rsidR="00601999" w:rsidRDefault="00601999" w:rsidP="00601999"/>
    <w:p w14:paraId="688A9DBB" w14:textId="28D1FCEE" w:rsidR="00601999" w:rsidRDefault="00601999" w:rsidP="00601999"/>
    <w:p w14:paraId="1AE102D1" w14:textId="63E4690D" w:rsidR="00601999" w:rsidRPr="00601999" w:rsidRDefault="00601999" w:rsidP="00601999">
      <w:r>
        <w:t xml:space="preserve">SIGNED AT AUSTIN, TEXAS the___________ </w:t>
      </w:r>
      <w:r w:rsidR="00BE555F">
        <w:t xml:space="preserve">day of January </w:t>
      </w:r>
      <w:r>
        <w:t>2021.</w:t>
      </w:r>
    </w:p>
    <w:p w14:paraId="412D105F" w14:textId="78D9D51D" w:rsidR="00601999" w:rsidRDefault="00601999" w:rsidP="00601999"/>
    <w:p w14:paraId="33DC7531" w14:textId="77777777" w:rsidR="00BE555F" w:rsidRDefault="00601999" w:rsidP="00601999">
      <w:r>
        <w:tab/>
      </w:r>
      <w:r>
        <w:tab/>
      </w:r>
      <w:r>
        <w:tab/>
      </w:r>
      <w:r>
        <w:tab/>
      </w:r>
      <w:r>
        <w:tab/>
      </w:r>
      <w:r>
        <w:tab/>
      </w:r>
      <w:r>
        <w:tab/>
      </w:r>
      <w:r>
        <w:tab/>
      </w:r>
    </w:p>
    <w:p w14:paraId="36B8898F" w14:textId="77777777" w:rsidR="00BE555F" w:rsidRDefault="00BE555F" w:rsidP="00601999"/>
    <w:p w14:paraId="79B2A1B9" w14:textId="77777777" w:rsidR="00BE555F" w:rsidRDefault="00BE555F" w:rsidP="00601999"/>
    <w:p w14:paraId="0C02FCBA" w14:textId="132AE12D" w:rsidR="00601999" w:rsidRDefault="00BE555F" w:rsidP="00BE555F">
      <w:pPr>
        <w:jc w:val="center"/>
        <w:rPr>
          <w:b/>
          <w:bCs/>
        </w:rPr>
      </w:pPr>
      <w:r>
        <w:rPr>
          <w:b/>
          <w:bCs/>
        </w:rPr>
        <w:tab/>
      </w:r>
      <w:r>
        <w:rPr>
          <w:b/>
          <w:bCs/>
        </w:rPr>
        <w:tab/>
      </w:r>
      <w:r>
        <w:rPr>
          <w:b/>
          <w:bCs/>
        </w:rPr>
        <w:tab/>
      </w:r>
      <w:r>
        <w:rPr>
          <w:b/>
          <w:bCs/>
        </w:rPr>
        <w:tab/>
      </w:r>
      <w:r>
        <w:rPr>
          <w:b/>
          <w:bCs/>
        </w:rPr>
        <w:tab/>
      </w:r>
      <w:r>
        <w:rPr>
          <w:b/>
          <w:bCs/>
        </w:rPr>
        <w:tab/>
        <w:t>PUBLIC UTILITY COMMISSION OF TEXAS</w:t>
      </w:r>
    </w:p>
    <w:p w14:paraId="21B72ECD" w14:textId="0B8B350F" w:rsidR="00601999" w:rsidRDefault="00601999" w:rsidP="00601999">
      <w:pPr>
        <w:rPr>
          <w:b/>
          <w:bCs/>
        </w:rPr>
      </w:pPr>
    </w:p>
    <w:p w14:paraId="767F37F8" w14:textId="099315CA" w:rsidR="00601999" w:rsidRDefault="00601999" w:rsidP="00601999">
      <w:pPr>
        <w:rPr>
          <w:b/>
          <w:bCs/>
        </w:rPr>
      </w:pPr>
    </w:p>
    <w:p w14:paraId="6AB7A10D" w14:textId="21AA522E" w:rsidR="00601999" w:rsidRDefault="00601999" w:rsidP="00601999">
      <w:pPr>
        <w:rPr>
          <w:b/>
          <w:bCs/>
        </w:rPr>
      </w:pPr>
    </w:p>
    <w:p w14:paraId="1E1F7C1D" w14:textId="38E9305D" w:rsidR="00601999" w:rsidRDefault="00601999" w:rsidP="00601999">
      <w:pPr>
        <w:rPr>
          <w:b/>
          <w:bCs/>
        </w:rPr>
      </w:pPr>
    </w:p>
    <w:p w14:paraId="64F132BB" w14:textId="78BDB933" w:rsidR="00601999" w:rsidRDefault="00BE555F" w:rsidP="00601999">
      <w:pPr>
        <w:rPr>
          <w:b/>
          <w:bCs/>
        </w:rPr>
      </w:pPr>
      <w:r>
        <w:rPr>
          <w:b/>
          <w:bCs/>
        </w:rPr>
        <w:tab/>
      </w:r>
      <w:r>
        <w:rPr>
          <w:b/>
          <w:bCs/>
        </w:rPr>
        <w:tab/>
      </w:r>
      <w:r>
        <w:rPr>
          <w:b/>
          <w:bCs/>
        </w:rPr>
        <w:tab/>
      </w:r>
      <w:r>
        <w:rPr>
          <w:b/>
          <w:bCs/>
        </w:rPr>
        <w:tab/>
      </w:r>
      <w:r>
        <w:rPr>
          <w:b/>
          <w:bCs/>
        </w:rPr>
        <w:tab/>
      </w:r>
      <w:r>
        <w:rPr>
          <w:b/>
          <w:bCs/>
        </w:rPr>
        <w:tab/>
        <w:t>_________________________________________</w:t>
      </w:r>
    </w:p>
    <w:p w14:paraId="3D0630B5" w14:textId="7A95EACC" w:rsidR="00781A9A" w:rsidRDefault="00BE555F" w:rsidP="00601999">
      <w:pPr>
        <w:rPr>
          <w:b/>
          <w:bCs/>
        </w:rPr>
      </w:pPr>
      <w:r>
        <w:rPr>
          <w:b/>
          <w:bCs/>
        </w:rPr>
        <w:tab/>
      </w:r>
      <w:r>
        <w:rPr>
          <w:b/>
          <w:bCs/>
        </w:rPr>
        <w:tab/>
      </w:r>
      <w:r>
        <w:rPr>
          <w:b/>
          <w:bCs/>
        </w:rPr>
        <w:tab/>
      </w:r>
      <w:r>
        <w:rPr>
          <w:b/>
          <w:bCs/>
        </w:rPr>
        <w:tab/>
      </w:r>
      <w:r>
        <w:rPr>
          <w:b/>
          <w:bCs/>
        </w:rPr>
        <w:tab/>
      </w:r>
      <w:r>
        <w:rPr>
          <w:b/>
          <w:bCs/>
        </w:rPr>
        <w:tab/>
      </w:r>
      <w:r w:rsidR="00781A9A" w:rsidRPr="00781A9A">
        <w:rPr>
          <w:b/>
          <w:bCs/>
        </w:rPr>
        <w:t>GREGORY R. SIEMANKOWSKI</w:t>
      </w:r>
    </w:p>
    <w:p w14:paraId="7065667E" w14:textId="3E5C16A2" w:rsidR="00601999" w:rsidRPr="00601999" w:rsidRDefault="00781A9A" w:rsidP="00601999">
      <w:pPr>
        <w:rPr>
          <w:b/>
          <w:bCs/>
        </w:rPr>
      </w:pPr>
      <w:r>
        <w:rPr>
          <w:b/>
          <w:bCs/>
        </w:rPr>
        <w:tab/>
      </w:r>
      <w:r>
        <w:rPr>
          <w:b/>
          <w:bCs/>
        </w:rPr>
        <w:tab/>
      </w:r>
      <w:r>
        <w:rPr>
          <w:b/>
          <w:bCs/>
        </w:rPr>
        <w:tab/>
      </w:r>
      <w:r>
        <w:rPr>
          <w:b/>
          <w:bCs/>
        </w:rPr>
        <w:tab/>
      </w:r>
      <w:r>
        <w:rPr>
          <w:b/>
          <w:bCs/>
        </w:rPr>
        <w:tab/>
      </w:r>
      <w:r>
        <w:rPr>
          <w:b/>
          <w:bCs/>
        </w:rPr>
        <w:tab/>
      </w:r>
      <w:r w:rsidR="00BE555F">
        <w:rPr>
          <w:b/>
          <w:bCs/>
        </w:rPr>
        <w:t>ADMINISTRATIVE LAW JUDGE</w:t>
      </w:r>
    </w:p>
    <w:p w14:paraId="2DD65DD1" w14:textId="77777777" w:rsidR="00783EF8" w:rsidRPr="00783EF8" w:rsidRDefault="00783EF8" w:rsidP="00783EF8"/>
    <w:p w14:paraId="3F344B7B" w14:textId="77777777" w:rsidR="00783EF8" w:rsidRDefault="00783EF8" w:rsidP="00783EF8">
      <w:pPr>
        <w:tabs>
          <w:tab w:val="clear" w:pos="720"/>
          <w:tab w:val="left" w:pos="630"/>
        </w:tabs>
        <w:spacing w:line="360" w:lineRule="auto"/>
      </w:pPr>
    </w:p>
    <w:p w14:paraId="08A56658" w14:textId="77777777" w:rsidR="00783EF8" w:rsidRPr="00783EF8" w:rsidRDefault="00783EF8" w:rsidP="00783EF8">
      <w:pPr>
        <w:pStyle w:val="ListParagraph"/>
        <w:numPr>
          <w:ilvl w:val="0"/>
          <w:numId w:val="0"/>
        </w:numPr>
        <w:tabs>
          <w:tab w:val="clear" w:pos="720"/>
          <w:tab w:val="left" w:pos="630"/>
        </w:tabs>
        <w:spacing w:line="360" w:lineRule="auto"/>
        <w:ind w:left="1440" w:hanging="810"/>
      </w:pPr>
    </w:p>
    <w:sectPr w:rsidR="00783EF8" w:rsidRPr="00783EF8" w:rsidSect="00EF4661">
      <w:footerReference w:type="default" r:id="rId8"/>
      <w:pgSz w:w="12240" w:h="15840"/>
      <w:pgMar w:top="1152" w:right="1440" w:bottom="43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1609B7" w14:textId="77777777" w:rsidR="00DE73DE" w:rsidRDefault="00DE73DE" w:rsidP="00265F9D">
      <w:r>
        <w:separator/>
      </w:r>
    </w:p>
  </w:endnote>
  <w:endnote w:type="continuationSeparator" w:id="0">
    <w:p w14:paraId="0D533A05" w14:textId="77777777" w:rsidR="00DE73DE" w:rsidRDefault="00DE73DE"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5A4B1C" w14:textId="77777777" w:rsidR="0027089E" w:rsidRDefault="0027089E">
    <w:pPr>
      <w:pStyle w:val="Footer"/>
      <w:jc w:val="center"/>
    </w:pPr>
  </w:p>
  <w:sdt>
    <w:sdtPr>
      <w:id w:val="1365556826"/>
      <w:docPartObj>
        <w:docPartGallery w:val="Page Numbers (Bottom of Page)"/>
        <w:docPartUnique/>
      </w:docPartObj>
    </w:sdtPr>
    <w:sdtEndPr>
      <w:rPr>
        <w:noProof/>
      </w:rPr>
    </w:sdtEndPr>
    <w:sdtContent>
      <w:p w14:paraId="66DC4B67" w14:textId="106328A6" w:rsidR="0027089E" w:rsidRDefault="0027089E" w:rsidP="00EF466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AF2DE8" w14:textId="77777777" w:rsidR="00DE73DE" w:rsidRDefault="00DE73DE" w:rsidP="00265F9D">
      <w:r>
        <w:separator/>
      </w:r>
    </w:p>
  </w:footnote>
  <w:footnote w:type="continuationSeparator" w:id="0">
    <w:p w14:paraId="3C440784" w14:textId="77777777" w:rsidR="00DE73DE" w:rsidRDefault="00DE73DE" w:rsidP="00265F9D">
      <w:r>
        <w:continuationSeparator/>
      </w:r>
    </w:p>
  </w:footnote>
  <w:footnote w:id="1">
    <w:p w14:paraId="4C82335D" w14:textId="30313587" w:rsidR="00E70F29" w:rsidRDefault="00E70F29" w:rsidP="00E70F29">
      <w:pPr>
        <w:pStyle w:val="FootnoteText"/>
        <w:spacing w:after="120"/>
      </w:pPr>
      <w:r>
        <w:tab/>
      </w:r>
      <w:r>
        <w:rPr>
          <w:rStyle w:val="FootnoteReference"/>
        </w:rPr>
        <w:footnoteRef/>
      </w:r>
      <w:r>
        <w:t xml:space="preserve"> T</w:t>
      </w:r>
      <w:r w:rsidRPr="00E70F29">
        <w:t>ex. Gov</w:t>
      </w:r>
      <w:r>
        <w:t>’</w:t>
      </w:r>
      <w:r w:rsidRPr="00E70F29">
        <w:t>t Code §§</w:t>
      </w:r>
      <w:r>
        <w:t xml:space="preserve"> </w:t>
      </w:r>
      <w:r w:rsidRPr="00E70F29">
        <w:t>2001.001-.903.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3D1116"/>
    <w:multiLevelType w:val="hybridMultilevel"/>
    <w:tmpl w:val="8068952E"/>
    <w:lvl w:ilvl="0" w:tplc="0409000F">
      <w:start w:val="1"/>
      <w:numFmt w:val="decimal"/>
      <w:lvlText w:val="%1."/>
      <w:lvlJc w:val="left"/>
      <w:pPr>
        <w:ind w:left="3870" w:hanging="360"/>
      </w:pPr>
      <w:rPr>
        <w:rFonts w:hint="default"/>
      </w:rPr>
    </w:lvl>
    <w:lvl w:ilvl="1" w:tplc="04090019">
      <w:start w:val="1"/>
      <w:numFmt w:val="lowerLetter"/>
      <w:lvlText w:val="%2."/>
      <w:lvlJc w:val="left"/>
      <w:pPr>
        <w:ind w:left="4590" w:hanging="360"/>
      </w:pPr>
    </w:lvl>
    <w:lvl w:ilvl="2" w:tplc="0409001B" w:tentative="1">
      <w:start w:val="1"/>
      <w:numFmt w:val="lowerRoman"/>
      <w:lvlText w:val="%3."/>
      <w:lvlJc w:val="right"/>
      <w:pPr>
        <w:ind w:left="5310" w:hanging="180"/>
      </w:pPr>
    </w:lvl>
    <w:lvl w:ilvl="3" w:tplc="0409000F" w:tentative="1">
      <w:start w:val="1"/>
      <w:numFmt w:val="decimal"/>
      <w:lvlText w:val="%4."/>
      <w:lvlJc w:val="left"/>
      <w:pPr>
        <w:ind w:left="6030" w:hanging="360"/>
      </w:pPr>
    </w:lvl>
    <w:lvl w:ilvl="4" w:tplc="04090019" w:tentative="1">
      <w:start w:val="1"/>
      <w:numFmt w:val="lowerLetter"/>
      <w:lvlText w:val="%5."/>
      <w:lvlJc w:val="left"/>
      <w:pPr>
        <w:ind w:left="6750" w:hanging="360"/>
      </w:pPr>
    </w:lvl>
    <w:lvl w:ilvl="5" w:tplc="0409001B" w:tentative="1">
      <w:start w:val="1"/>
      <w:numFmt w:val="lowerRoman"/>
      <w:lvlText w:val="%6."/>
      <w:lvlJc w:val="right"/>
      <w:pPr>
        <w:ind w:left="7470" w:hanging="180"/>
      </w:pPr>
    </w:lvl>
    <w:lvl w:ilvl="6" w:tplc="0409000F" w:tentative="1">
      <w:start w:val="1"/>
      <w:numFmt w:val="decimal"/>
      <w:lvlText w:val="%7."/>
      <w:lvlJc w:val="left"/>
      <w:pPr>
        <w:ind w:left="8190" w:hanging="360"/>
      </w:pPr>
    </w:lvl>
    <w:lvl w:ilvl="7" w:tplc="04090019" w:tentative="1">
      <w:start w:val="1"/>
      <w:numFmt w:val="lowerLetter"/>
      <w:lvlText w:val="%8."/>
      <w:lvlJc w:val="left"/>
      <w:pPr>
        <w:ind w:left="8910" w:hanging="360"/>
      </w:pPr>
    </w:lvl>
    <w:lvl w:ilvl="8" w:tplc="0409001B" w:tentative="1">
      <w:start w:val="1"/>
      <w:numFmt w:val="lowerRoman"/>
      <w:lvlText w:val="%9."/>
      <w:lvlJc w:val="right"/>
      <w:pPr>
        <w:ind w:left="9630" w:hanging="180"/>
      </w:pPr>
    </w:lvl>
  </w:abstractNum>
  <w:abstractNum w:abstractNumId="1" w15:restartNumberingAfterBreak="0">
    <w:nsid w:val="356B0667"/>
    <w:multiLevelType w:val="hybridMultilevel"/>
    <w:tmpl w:val="818EA026"/>
    <w:lvl w:ilvl="0" w:tplc="6C300F86">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E10427"/>
    <w:multiLevelType w:val="multilevel"/>
    <w:tmpl w:val="A954813E"/>
    <w:lvl w:ilvl="0">
      <w:start w:val="1"/>
      <w:numFmt w:val="upperRoman"/>
      <w:pStyle w:val="CROutline1"/>
      <w:lvlText w:val="%1."/>
      <w:lvlJc w:val="left"/>
      <w:pPr>
        <w:tabs>
          <w:tab w:val="num" w:pos="1152"/>
        </w:tabs>
        <w:ind w:left="1152" w:hanging="720"/>
      </w:pPr>
      <w:rPr>
        <w:rFonts w:hint="default"/>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90"/>
        </w:tabs>
        <w:ind w:left="1350" w:hanging="720"/>
      </w:pPr>
      <w:rPr>
        <w:rFonts w:hint="default"/>
        <w:b w:val="0"/>
        <w:bCs/>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3" w15:restartNumberingAfterBreak="0">
    <w:nsid w:val="46236726"/>
    <w:multiLevelType w:val="hybridMultilevel"/>
    <w:tmpl w:val="6EA04E40"/>
    <w:lvl w:ilvl="0" w:tplc="0409000F">
      <w:start w:val="1"/>
      <w:numFmt w:val="decimal"/>
      <w:lvlText w:val="%1."/>
      <w:lvlJc w:val="left"/>
      <w:pPr>
        <w:ind w:left="3870" w:hanging="360"/>
      </w:pPr>
      <w:rPr>
        <w:rFonts w:hint="default"/>
      </w:rPr>
    </w:lvl>
    <w:lvl w:ilvl="1" w:tplc="04090019">
      <w:start w:val="1"/>
      <w:numFmt w:val="lowerLetter"/>
      <w:lvlText w:val="%2."/>
      <w:lvlJc w:val="left"/>
      <w:pPr>
        <w:ind w:left="4590" w:hanging="360"/>
      </w:pPr>
    </w:lvl>
    <w:lvl w:ilvl="2" w:tplc="0409001B" w:tentative="1">
      <w:start w:val="1"/>
      <w:numFmt w:val="lowerRoman"/>
      <w:lvlText w:val="%3."/>
      <w:lvlJc w:val="right"/>
      <w:pPr>
        <w:ind w:left="5310" w:hanging="180"/>
      </w:pPr>
    </w:lvl>
    <w:lvl w:ilvl="3" w:tplc="0409000F" w:tentative="1">
      <w:start w:val="1"/>
      <w:numFmt w:val="decimal"/>
      <w:lvlText w:val="%4."/>
      <w:lvlJc w:val="left"/>
      <w:pPr>
        <w:ind w:left="6030" w:hanging="360"/>
      </w:pPr>
    </w:lvl>
    <w:lvl w:ilvl="4" w:tplc="04090019" w:tentative="1">
      <w:start w:val="1"/>
      <w:numFmt w:val="lowerLetter"/>
      <w:lvlText w:val="%5."/>
      <w:lvlJc w:val="left"/>
      <w:pPr>
        <w:ind w:left="6750" w:hanging="360"/>
      </w:pPr>
    </w:lvl>
    <w:lvl w:ilvl="5" w:tplc="0409001B" w:tentative="1">
      <w:start w:val="1"/>
      <w:numFmt w:val="lowerRoman"/>
      <w:lvlText w:val="%6."/>
      <w:lvlJc w:val="right"/>
      <w:pPr>
        <w:ind w:left="7470" w:hanging="180"/>
      </w:pPr>
    </w:lvl>
    <w:lvl w:ilvl="6" w:tplc="0409000F" w:tentative="1">
      <w:start w:val="1"/>
      <w:numFmt w:val="decimal"/>
      <w:lvlText w:val="%7."/>
      <w:lvlJc w:val="left"/>
      <w:pPr>
        <w:ind w:left="8190" w:hanging="360"/>
      </w:pPr>
    </w:lvl>
    <w:lvl w:ilvl="7" w:tplc="04090019" w:tentative="1">
      <w:start w:val="1"/>
      <w:numFmt w:val="lowerLetter"/>
      <w:lvlText w:val="%8."/>
      <w:lvlJc w:val="left"/>
      <w:pPr>
        <w:ind w:left="8910" w:hanging="360"/>
      </w:pPr>
    </w:lvl>
    <w:lvl w:ilvl="8" w:tplc="0409001B" w:tentative="1">
      <w:start w:val="1"/>
      <w:numFmt w:val="lowerRoman"/>
      <w:lvlText w:val="%9."/>
      <w:lvlJc w:val="right"/>
      <w:pPr>
        <w:ind w:left="9630" w:hanging="180"/>
      </w:pPr>
    </w:lvl>
  </w:abstractNum>
  <w:abstractNum w:abstractNumId="4" w15:restartNumberingAfterBreak="0">
    <w:nsid w:val="5B5100EC"/>
    <w:multiLevelType w:val="multilevel"/>
    <w:tmpl w:val="1CDEB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A285CD9"/>
    <w:multiLevelType w:val="hybridMultilevel"/>
    <w:tmpl w:val="6EA04E40"/>
    <w:lvl w:ilvl="0" w:tplc="0409000F">
      <w:start w:val="1"/>
      <w:numFmt w:val="decimal"/>
      <w:lvlText w:val="%1."/>
      <w:lvlJc w:val="left"/>
      <w:pPr>
        <w:ind w:left="3870" w:hanging="360"/>
      </w:pPr>
      <w:rPr>
        <w:rFonts w:hint="default"/>
      </w:rPr>
    </w:lvl>
    <w:lvl w:ilvl="1" w:tplc="04090019">
      <w:start w:val="1"/>
      <w:numFmt w:val="lowerLetter"/>
      <w:lvlText w:val="%2."/>
      <w:lvlJc w:val="left"/>
      <w:pPr>
        <w:ind w:left="4590" w:hanging="360"/>
      </w:pPr>
    </w:lvl>
    <w:lvl w:ilvl="2" w:tplc="0409001B" w:tentative="1">
      <w:start w:val="1"/>
      <w:numFmt w:val="lowerRoman"/>
      <w:lvlText w:val="%3."/>
      <w:lvlJc w:val="right"/>
      <w:pPr>
        <w:ind w:left="5310" w:hanging="180"/>
      </w:pPr>
    </w:lvl>
    <w:lvl w:ilvl="3" w:tplc="0409000F" w:tentative="1">
      <w:start w:val="1"/>
      <w:numFmt w:val="decimal"/>
      <w:lvlText w:val="%4."/>
      <w:lvlJc w:val="left"/>
      <w:pPr>
        <w:ind w:left="6030" w:hanging="360"/>
      </w:pPr>
    </w:lvl>
    <w:lvl w:ilvl="4" w:tplc="04090019" w:tentative="1">
      <w:start w:val="1"/>
      <w:numFmt w:val="lowerLetter"/>
      <w:lvlText w:val="%5."/>
      <w:lvlJc w:val="left"/>
      <w:pPr>
        <w:ind w:left="6750" w:hanging="360"/>
      </w:pPr>
    </w:lvl>
    <w:lvl w:ilvl="5" w:tplc="0409001B" w:tentative="1">
      <w:start w:val="1"/>
      <w:numFmt w:val="lowerRoman"/>
      <w:lvlText w:val="%6."/>
      <w:lvlJc w:val="right"/>
      <w:pPr>
        <w:ind w:left="7470" w:hanging="180"/>
      </w:pPr>
    </w:lvl>
    <w:lvl w:ilvl="6" w:tplc="0409000F" w:tentative="1">
      <w:start w:val="1"/>
      <w:numFmt w:val="decimal"/>
      <w:lvlText w:val="%7."/>
      <w:lvlJc w:val="left"/>
      <w:pPr>
        <w:ind w:left="8190" w:hanging="360"/>
      </w:pPr>
    </w:lvl>
    <w:lvl w:ilvl="7" w:tplc="04090019" w:tentative="1">
      <w:start w:val="1"/>
      <w:numFmt w:val="lowerLetter"/>
      <w:lvlText w:val="%8."/>
      <w:lvlJc w:val="left"/>
      <w:pPr>
        <w:ind w:left="8910" w:hanging="360"/>
      </w:pPr>
    </w:lvl>
    <w:lvl w:ilvl="8" w:tplc="0409001B" w:tentative="1">
      <w:start w:val="1"/>
      <w:numFmt w:val="lowerRoman"/>
      <w:lvlText w:val="%9."/>
      <w:lvlJc w:val="right"/>
      <w:pPr>
        <w:ind w:left="9630" w:hanging="180"/>
      </w:pPr>
    </w:lvl>
  </w:abstractNum>
  <w:abstractNum w:abstractNumId="6" w15:restartNumberingAfterBreak="0">
    <w:nsid w:val="6A3531DA"/>
    <w:multiLevelType w:val="hybridMultilevel"/>
    <w:tmpl w:val="62862E0C"/>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2"/>
  </w:num>
  <w:num w:numId="2">
    <w:abstractNumId w:val="1"/>
  </w:num>
  <w:num w:numId="3">
    <w:abstractNumId w:val="0"/>
  </w:num>
  <w:num w:numId="4">
    <w:abstractNumId w:val="5"/>
  </w:num>
  <w:num w:numId="5">
    <w:abstractNumId w:val="3"/>
  </w:num>
  <w:num w:numId="6">
    <w:abstractNumId w:val="6"/>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3DE"/>
    <w:rsid w:val="00000DF3"/>
    <w:rsid w:val="00002925"/>
    <w:rsid w:val="00021039"/>
    <w:rsid w:val="00021BC4"/>
    <w:rsid w:val="00021C80"/>
    <w:rsid w:val="000229ED"/>
    <w:rsid w:val="00033B19"/>
    <w:rsid w:val="000412CF"/>
    <w:rsid w:val="00051162"/>
    <w:rsid w:val="00052FD9"/>
    <w:rsid w:val="0005494D"/>
    <w:rsid w:val="0005654F"/>
    <w:rsid w:val="00061B3A"/>
    <w:rsid w:val="00061DF9"/>
    <w:rsid w:val="000671AC"/>
    <w:rsid w:val="0007152C"/>
    <w:rsid w:val="000770BB"/>
    <w:rsid w:val="00077AEF"/>
    <w:rsid w:val="0009129F"/>
    <w:rsid w:val="000A2D06"/>
    <w:rsid w:val="000A36AB"/>
    <w:rsid w:val="000A5363"/>
    <w:rsid w:val="000A6FFF"/>
    <w:rsid w:val="000B3E6A"/>
    <w:rsid w:val="000B596E"/>
    <w:rsid w:val="000C58F8"/>
    <w:rsid w:val="000D2DE2"/>
    <w:rsid w:val="000D475C"/>
    <w:rsid w:val="000D532D"/>
    <w:rsid w:val="000E63D5"/>
    <w:rsid w:val="00103A12"/>
    <w:rsid w:val="00104232"/>
    <w:rsid w:val="00105145"/>
    <w:rsid w:val="00115114"/>
    <w:rsid w:val="00133DF7"/>
    <w:rsid w:val="00146E7B"/>
    <w:rsid w:val="001472D0"/>
    <w:rsid w:val="00152F28"/>
    <w:rsid w:val="00157CDA"/>
    <w:rsid w:val="001625D1"/>
    <w:rsid w:val="00164E05"/>
    <w:rsid w:val="001666D2"/>
    <w:rsid w:val="001667C6"/>
    <w:rsid w:val="00175401"/>
    <w:rsid w:val="00182E9D"/>
    <w:rsid w:val="0019639C"/>
    <w:rsid w:val="0019671A"/>
    <w:rsid w:val="001A19ED"/>
    <w:rsid w:val="001A2742"/>
    <w:rsid w:val="001A5997"/>
    <w:rsid w:val="001A62AE"/>
    <w:rsid w:val="001B4065"/>
    <w:rsid w:val="001C3D1A"/>
    <w:rsid w:val="001C77B9"/>
    <w:rsid w:val="001D3139"/>
    <w:rsid w:val="001E3C74"/>
    <w:rsid w:val="001E5BF4"/>
    <w:rsid w:val="001F14E6"/>
    <w:rsid w:val="001F2F49"/>
    <w:rsid w:val="001F77FC"/>
    <w:rsid w:val="00200554"/>
    <w:rsid w:val="00201FEB"/>
    <w:rsid w:val="00214732"/>
    <w:rsid w:val="00217E67"/>
    <w:rsid w:val="0022485F"/>
    <w:rsid w:val="002249DF"/>
    <w:rsid w:val="00246933"/>
    <w:rsid w:val="00254C0A"/>
    <w:rsid w:val="00255FC2"/>
    <w:rsid w:val="00265F9D"/>
    <w:rsid w:val="00266F28"/>
    <w:rsid w:val="0027089E"/>
    <w:rsid w:val="002733FA"/>
    <w:rsid w:val="002908D6"/>
    <w:rsid w:val="002B1B3F"/>
    <w:rsid w:val="002B6714"/>
    <w:rsid w:val="002C05BC"/>
    <w:rsid w:val="002D33E1"/>
    <w:rsid w:val="002D65CA"/>
    <w:rsid w:val="002D6C33"/>
    <w:rsid w:val="002E24B8"/>
    <w:rsid w:val="002E5493"/>
    <w:rsid w:val="002E6D41"/>
    <w:rsid w:val="002F13D3"/>
    <w:rsid w:val="002F5CB6"/>
    <w:rsid w:val="002F6AA6"/>
    <w:rsid w:val="0030186D"/>
    <w:rsid w:val="00303B5D"/>
    <w:rsid w:val="00314652"/>
    <w:rsid w:val="00315480"/>
    <w:rsid w:val="0031569C"/>
    <w:rsid w:val="00315E1E"/>
    <w:rsid w:val="00316EA2"/>
    <w:rsid w:val="003303A8"/>
    <w:rsid w:val="00332109"/>
    <w:rsid w:val="00336985"/>
    <w:rsid w:val="0034452B"/>
    <w:rsid w:val="00346D82"/>
    <w:rsid w:val="00366145"/>
    <w:rsid w:val="00375241"/>
    <w:rsid w:val="0038798B"/>
    <w:rsid w:val="00390BBC"/>
    <w:rsid w:val="00390C4E"/>
    <w:rsid w:val="00392B21"/>
    <w:rsid w:val="00392D06"/>
    <w:rsid w:val="003934E7"/>
    <w:rsid w:val="003935F0"/>
    <w:rsid w:val="00395DB0"/>
    <w:rsid w:val="0039629A"/>
    <w:rsid w:val="003A266D"/>
    <w:rsid w:val="003A43B4"/>
    <w:rsid w:val="003B0EEA"/>
    <w:rsid w:val="003B1579"/>
    <w:rsid w:val="003C4D8A"/>
    <w:rsid w:val="003D55FB"/>
    <w:rsid w:val="003E6E4D"/>
    <w:rsid w:val="003F0147"/>
    <w:rsid w:val="003F42F9"/>
    <w:rsid w:val="004004AE"/>
    <w:rsid w:val="004159A5"/>
    <w:rsid w:val="00421304"/>
    <w:rsid w:val="0043017E"/>
    <w:rsid w:val="00461629"/>
    <w:rsid w:val="0046712E"/>
    <w:rsid w:val="004735A4"/>
    <w:rsid w:val="00477858"/>
    <w:rsid w:val="00487A94"/>
    <w:rsid w:val="00491EF4"/>
    <w:rsid w:val="004937D8"/>
    <w:rsid w:val="00494BB1"/>
    <w:rsid w:val="00494EE0"/>
    <w:rsid w:val="004959DF"/>
    <w:rsid w:val="00496B08"/>
    <w:rsid w:val="004B0F6D"/>
    <w:rsid w:val="004C5BCF"/>
    <w:rsid w:val="004E66AA"/>
    <w:rsid w:val="004F4FD7"/>
    <w:rsid w:val="004F7721"/>
    <w:rsid w:val="0051554E"/>
    <w:rsid w:val="00516E94"/>
    <w:rsid w:val="00522B72"/>
    <w:rsid w:val="00523175"/>
    <w:rsid w:val="005278D9"/>
    <w:rsid w:val="0053039F"/>
    <w:rsid w:val="00536F52"/>
    <w:rsid w:val="005378AC"/>
    <w:rsid w:val="00541AAC"/>
    <w:rsid w:val="00544E40"/>
    <w:rsid w:val="005530E3"/>
    <w:rsid w:val="005573DB"/>
    <w:rsid w:val="00562CDA"/>
    <w:rsid w:val="00567362"/>
    <w:rsid w:val="00575239"/>
    <w:rsid w:val="00581D0E"/>
    <w:rsid w:val="00584C91"/>
    <w:rsid w:val="005879DA"/>
    <w:rsid w:val="00590CF6"/>
    <w:rsid w:val="00594E01"/>
    <w:rsid w:val="005958A3"/>
    <w:rsid w:val="005A4906"/>
    <w:rsid w:val="005A5244"/>
    <w:rsid w:val="005B791D"/>
    <w:rsid w:val="005D5B4F"/>
    <w:rsid w:val="005E5CC0"/>
    <w:rsid w:val="005E69E3"/>
    <w:rsid w:val="005E77A5"/>
    <w:rsid w:val="005F0256"/>
    <w:rsid w:val="005F0514"/>
    <w:rsid w:val="005F1E83"/>
    <w:rsid w:val="005F2942"/>
    <w:rsid w:val="005F54A5"/>
    <w:rsid w:val="005F5A6A"/>
    <w:rsid w:val="006003FF"/>
    <w:rsid w:val="00601999"/>
    <w:rsid w:val="006044AF"/>
    <w:rsid w:val="00610DA0"/>
    <w:rsid w:val="006136D9"/>
    <w:rsid w:val="006152C4"/>
    <w:rsid w:val="00621483"/>
    <w:rsid w:val="00624F02"/>
    <w:rsid w:val="006576B3"/>
    <w:rsid w:val="006706E8"/>
    <w:rsid w:val="00670A21"/>
    <w:rsid w:val="00675EED"/>
    <w:rsid w:val="006813F1"/>
    <w:rsid w:val="00684717"/>
    <w:rsid w:val="00691DB6"/>
    <w:rsid w:val="006A6E9F"/>
    <w:rsid w:val="006A7CFF"/>
    <w:rsid w:val="006B2B48"/>
    <w:rsid w:val="006B6FE5"/>
    <w:rsid w:val="006B7A61"/>
    <w:rsid w:val="006C4B9D"/>
    <w:rsid w:val="006F0117"/>
    <w:rsid w:val="006F3DBA"/>
    <w:rsid w:val="00702D76"/>
    <w:rsid w:val="00712A19"/>
    <w:rsid w:val="00732DE3"/>
    <w:rsid w:val="0073722E"/>
    <w:rsid w:val="0074500B"/>
    <w:rsid w:val="00747233"/>
    <w:rsid w:val="00757A92"/>
    <w:rsid w:val="00757B56"/>
    <w:rsid w:val="00760865"/>
    <w:rsid w:val="00767437"/>
    <w:rsid w:val="00773B4C"/>
    <w:rsid w:val="00781A9A"/>
    <w:rsid w:val="00782B3B"/>
    <w:rsid w:val="00783EF8"/>
    <w:rsid w:val="00793D43"/>
    <w:rsid w:val="007A0E3F"/>
    <w:rsid w:val="007A5F34"/>
    <w:rsid w:val="007B16F5"/>
    <w:rsid w:val="007B1BBF"/>
    <w:rsid w:val="007B2540"/>
    <w:rsid w:val="007B501E"/>
    <w:rsid w:val="007C475D"/>
    <w:rsid w:val="007D064A"/>
    <w:rsid w:val="007D1062"/>
    <w:rsid w:val="007D490E"/>
    <w:rsid w:val="007F43AD"/>
    <w:rsid w:val="007F51FF"/>
    <w:rsid w:val="007F7568"/>
    <w:rsid w:val="008009E7"/>
    <w:rsid w:val="008012C8"/>
    <w:rsid w:val="00801D5B"/>
    <w:rsid w:val="00820669"/>
    <w:rsid w:val="008222FD"/>
    <w:rsid w:val="00826ADB"/>
    <w:rsid w:val="00830153"/>
    <w:rsid w:val="008419CE"/>
    <w:rsid w:val="00842E91"/>
    <w:rsid w:val="00842EAC"/>
    <w:rsid w:val="008472DE"/>
    <w:rsid w:val="0085403A"/>
    <w:rsid w:val="00864678"/>
    <w:rsid w:val="00871A71"/>
    <w:rsid w:val="0087222B"/>
    <w:rsid w:val="008773F3"/>
    <w:rsid w:val="00885222"/>
    <w:rsid w:val="008918B5"/>
    <w:rsid w:val="00894450"/>
    <w:rsid w:val="008A28D4"/>
    <w:rsid w:val="008A3CAF"/>
    <w:rsid w:val="008A4596"/>
    <w:rsid w:val="008A5B6E"/>
    <w:rsid w:val="008A6B00"/>
    <w:rsid w:val="008A70B6"/>
    <w:rsid w:val="008B0C32"/>
    <w:rsid w:val="008B201D"/>
    <w:rsid w:val="008C3BF6"/>
    <w:rsid w:val="008C56E2"/>
    <w:rsid w:val="008D72DB"/>
    <w:rsid w:val="008D7A15"/>
    <w:rsid w:val="008E13E5"/>
    <w:rsid w:val="00902867"/>
    <w:rsid w:val="00902EBE"/>
    <w:rsid w:val="009054A5"/>
    <w:rsid w:val="00911275"/>
    <w:rsid w:val="00916A08"/>
    <w:rsid w:val="00921150"/>
    <w:rsid w:val="00921EF2"/>
    <w:rsid w:val="00923926"/>
    <w:rsid w:val="00925277"/>
    <w:rsid w:val="009374C4"/>
    <w:rsid w:val="0094675C"/>
    <w:rsid w:val="00947B59"/>
    <w:rsid w:val="00950A66"/>
    <w:rsid w:val="00952A50"/>
    <w:rsid w:val="00955B9E"/>
    <w:rsid w:val="00962EAD"/>
    <w:rsid w:val="00970004"/>
    <w:rsid w:val="00973FA3"/>
    <w:rsid w:val="0097456C"/>
    <w:rsid w:val="00981931"/>
    <w:rsid w:val="00982598"/>
    <w:rsid w:val="00985B1D"/>
    <w:rsid w:val="009A00E8"/>
    <w:rsid w:val="009A453E"/>
    <w:rsid w:val="009A4F4A"/>
    <w:rsid w:val="009B43E1"/>
    <w:rsid w:val="009E0ECE"/>
    <w:rsid w:val="009E1281"/>
    <w:rsid w:val="009E761F"/>
    <w:rsid w:val="009F2161"/>
    <w:rsid w:val="00A02C9E"/>
    <w:rsid w:val="00A03A01"/>
    <w:rsid w:val="00A11E01"/>
    <w:rsid w:val="00A1507E"/>
    <w:rsid w:val="00A20988"/>
    <w:rsid w:val="00A24076"/>
    <w:rsid w:val="00A30772"/>
    <w:rsid w:val="00A31A22"/>
    <w:rsid w:val="00A34014"/>
    <w:rsid w:val="00A34591"/>
    <w:rsid w:val="00A40FE1"/>
    <w:rsid w:val="00A42CB2"/>
    <w:rsid w:val="00A509D6"/>
    <w:rsid w:val="00A5407C"/>
    <w:rsid w:val="00A54C32"/>
    <w:rsid w:val="00A6149A"/>
    <w:rsid w:val="00A637AB"/>
    <w:rsid w:val="00A81434"/>
    <w:rsid w:val="00A92F4C"/>
    <w:rsid w:val="00A94CE6"/>
    <w:rsid w:val="00AA20C6"/>
    <w:rsid w:val="00AA2A43"/>
    <w:rsid w:val="00AB2835"/>
    <w:rsid w:val="00AB5376"/>
    <w:rsid w:val="00AC0F8F"/>
    <w:rsid w:val="00AC7F78"/>
    <w:rsid w:val="00AD010F"/>
    <w:rsid w:val="00AD3DF9"/>
    <w:rsid w:val="00AD3F8D"/>
    <w:rsid w:val="00AD5691"/>
    <w:rsid w:val="00AF0046"/>
    <w:rsid w:val="00AF5B5F"/>
    <w:rsid w:val="00B02DA9"/>
    <w:rsid w:val="00B060AE"/>
    <w:rsid w:val="00B169AE"/>
    <w:rsid w:val="00B16CE8"/>
    <w:rsid w:val="00B22BA1"/>
    <w:rsid w:val="00B30DA5"/>
    <w:rsid w:val="00B436B2"/>
    <w:rsid w:val="00B532E3"/>
    <w:rsid w:val="00B82B3D"/>
    <w:rsid w:val="00B83261"/>
    <w:rsid w:val="00BB1211"/>
    <w:rsid w:val="00BB2C08"/>
    <w:rsid w:val="00BB3319"/>
    <w:rsid w:val="00BB55BF"/>
    <w:rsid w:val="00BC6D0A"/>
    <w:rsid w:val="00BD1BD9"/>
    <w:rsid w:val="00BD7F97"/>
    <w:rsid w:val="00BE06AC"/>
    <w:rsid w:val="00BE33E8"/>
    <w:rsid w:val="00BE555F"/>
    <w:rsid w:val="00BE7A14"/>
    <w:rsid w:val="00BF0417"/>
    <w:rsid w:val="00BF58B1"/>
    <w:rsid w:val="00C0205E"/>
    <w:rsid w:val="00C0232B"/>
    <w:rsid w:val="00C025C8"/>
    <w:rsid w:val="00C0741B"/>
    <w:rsid w:val="00C074C1"/>
    <w:rsid w:val="00C12F11"/>
    <w:rsid w:val="00C13BFE"/>
    <w:rsid w:val="00C15EF0"/>
    <w:rsid w:val="00C167B0"/>
    <w:rsid w:val="00C17BD7"/>
    <w:rsid w:val="00C2529E"/>
    <w:rsid w:val="00C26627"/>
    <w:rsid w:val="00C30B36"/>
    <w:rsid w:val="00C36655"/>
    <w:rsid w:val="00C40DAD"/>
    <w:rsid w:val="00C45E37"/>
    <w:rsid w:val="00C5005C"/>
    <w:rsid w:val="00C71387"/>
    <w:rsid w:val="00C7307B"/>
    <w:rsid w:val="00C75D35"/>
    <w:rsid w:val="00C96FBC"/>
    <w:rsid w:val="00C97BDB"/>
    <w:rsid w:val="00C97E98"/>
    <w:rsid w:val="00CA56D7"/>
    <w:rsid w:val="00CA781F"/>
    <w:rsid w:val="00CB246C"/>
    <w:rsid w:val="00CB2B8B"/>
    <w:rsid w:val="00CB3103"/>
    <w:rsid w:val="00CC2033"/>
    <w:rsid w:val="00CC6805"/>
    <w:rsid w:val="00CC70D2"/>
    <w:rsid w:val="00CD262A"/>
    <w:rsid w:val="00CD40B8"/>
    <w:rsid w:val="00CD5C82"/>
    <w:rsid w:val="00CD5CB4"/>
    <w:rsid w:val="00CF30A4"/>
    <w:rsid w:val="00D05DDA"/>
    <w:rsid w:val="00D0636F"/>
    <w:rsid w:val="00D13D1B"/>
    <w:rsid w:val="00D27126"/>
    <w:rsid w:val="00D333AD"/>
    <w:rsid w:val="00D36486"/>
    <w:rsid w:val="00D3788D"/>
    <w:rsid w:val="00D44237"/>
    <w:rsid w:val="00D57626"/>
    <w:rsid w:val="00D616AB"/>
    <w:rsid w:val="00D6191F"/>
    <w:rsid w:val="00D62FC2"/>
    <w:rsid w:val="00D63BB9"/>
    <w:rsid w:val="00D664A3"/>
    <w:rsid w:val="00D80948"/>
    <w:rsid w:val="00D83613"/>
    <w:rsid w:val="00D87259"/>
    <w:rsid w:val="00D87538"/>
    <w:rsid w:val="00D906B3"/>
    <w:rsid w:val="00D90FE4"/>
    <w:rsid w:val="00DA33D3"/>
    <w:rsid w:val="00DA4EB0"/>
    <w:rsid w:val="00DA7C31"/>
    <w:rsid w:val="00DB2B9B"/>
    <w:rsid w:val="00DC754F"/>
    <w:rsid w:val="00DE73DE"/>
    <w:rsid w:val="00DF4657"/>
    <w:rsid w:val="00E10D1F"/>
    <w:rsid w:val="00E1395B"/>
    <w:rsid w:val="00E42118"/>
    <w:rsid w:val="00E46E3D"/>
    <w:rsid w:val="00E507A5"/>
    <w:rsid w:val="00E519AA"/>
    <w:rsid w:val="00E52A51"/>
    <w:rsid w:val="00E645F1"/>
    <w:rsid w:val="00E70F29"/>
    <w:rsid w:val="00E72B1C"/>
    <w:rsid w:val="00E72FA5"/>
    <w:rsid w:val="00E759D3"/>
    <w:rsid w:val="00E8316E"/>
    <w:rsid w:val="00E83B9E"/>
    <w:rsid w:val="00E938BD"/>
    <w:rsid w:val="00EA2298"/>
    <w:rsid w:val="00EA53E2"/>
    <w:rsid w:val="00EA5B8F"/>
    <w:rsid w:val="00EA5F1D"/>
    <w:rsid w:val="00EA663D"/>
    <w:rsid w:val="00EB2D6D"/>
    <w:rsid w:val="00EB4244"/>
    <w:rsid w:val="00EB5993"/>
    <w:rsid w:val="00EC6FF3"/>
    <w:rsid w:val="00ED180B"/>
    <w:rsid w:val="00ED263F"/>
    <w:rsid w:val="00ED3FD1"/>
    <w:rsid w:val="00ED573D"/>
    <w:rsid w:val="00EE24AD"/>
    <w:rsid w:val="00EE31FC"/>
    <w:rsid w:val="00EE4CFE"/>
    <w:rsid w:val="00EE632D"/>
    <w:rsid w:val="00EF01C4"/>
    <w:rsid w:val="00EF107B"/>
    <w:rsid w:val="00EF2242"/>
    <w:rsid w:val="00EF4661"/>
    <w:rsid w:val="00F003A4"/>
    <w:rsid w:val="00F005FB"/>
    <w:rsid w:val="00F23309"/>
    <w:rsid w:val="00F51CD7"/>
    <w:rsid w:val="00F51CE6"/>
    <w:rsid w:val="00F5487B"/>
    <w:rsid w:val="00F61D4E"/>
    <w:rsid w:val="00F70DBD"/>
    <w:rsid w:val="00F77FF9"/>
    <w:rsid w:val="00F81016"/>
    <w:rsid w:val="00F8374D"/>
    <w:rsid w:val="00F84268"/>
    <w:rsid w:val="00F97AE8"/>
    <w:rsid w:val="00FA3FC2"/>
    <w:rsid w:val="00FA6E9E"/>
    <w:rsid w:val="00FB0F6F"/>
    <w:rsid w:val="00FC0D70"/>
    <w:rsid w:val="00FD2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80462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5CC0"/>
    <w:pPr>
      <w:tabs>
        <w:tab w:val="left" w:pos="720"/>
      </w:tabs>
    </w:pPr>
  </w:style>
  <w:style w:type="paragraph" w:styleId="Heading1">
    <w:name w:val="heading 1"/>
    <w:basedOn w:val="Normal"/>
    <w:next w:val="Normal"/>
    <w:link w:val="Heading1Char"/>
    <w:uiPriority w:val="9"/>
    <w:rsid w:val="00C13BFE"/>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rsid w:val="00392B2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92B21"/>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65F9D"/>
    <w:rPr>
      <w:sz w:val="20"/>
      <w:szCs w:val="20"/>
    </w:rPr>
  </w:style>
  <w:style w:type="character" w:customStyle="1" w:styleId="FootnoteTextChar">
    <w:name w:val="Footnote Text Char"/>
    <w:basedOn w:val="DefaultParagraphFont"/>
    <w:link w:val="FootnoteText"/>
    <w:uiPriority w:val="99"/>
    <w:semiHidden/>
    <w:rsid w:val="00265F9D"/>
    <w:rPr>
      <w:sz w:val="20"/>
      <w:szCs w:val="20"/>
    </w:rPr>
  </w:style>
  <w:style w:type="character" w:styleId="FootnoteReference">
    <w:name w:val="footnote reference"/>
    <w:basedOn w:val="DefaultParagraphFont"/>
    <w:uiPriority w:val="99"/>
    <w:semiHidden/>
    <w:unhideWhenUsed/>
    <w:rsid w:val="00265F9D"/>
    <w:rPr>
      <w:vertAlign w:val="superscript"/>
    </w:rPr>
  </w:style>
  <w:style w:type="paragraph" w:styleId="BalloonText">
    <w:name w:val="Balloon Text"/>
    <w:basedOn w:val="Normal"/>
    <w:link w:val="BalloonTextChar"/>
    <w:uiPriority w:val="99"/>
    <w:semiHidden/>
    <w:unhideWhenUsed/>
    <w:rsid w:val="00C15E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5EF0"/>
    <w:rPr>
      <w:rFonts w:ascii="Segoe UI" w:hAnsi="Segoe UI" w:cs="Segoe UI"/>
      <w:sz w:val="18"/>
      <w:szCs w:val="18"/>
    </w:rPr>
  </w:style>
  <w:style w:type="character" w:customStyle="1" w:styleId="Heading1Char">
    <w:name w:val="Heading 1 Char"/>
    <w:basedOn w:val="DefaultParagraphFont"/>
    <w:link w:val="Heading1"/>
    <w:uiPriority w:val="9"/>
    <w:rsid w:val="00C13BFE"/>
    <w:rPr>
      <w:rFonts w:eastAsiaTheme="majorEastAsia" w:cstheme="majorBidi"/>
      <w:b/>
      <w:szCs w:val="32"/>
    </w:rPr>
  </w:style>
  <w:style w:type="character" w:customStyle="1" w:styleId="Heading2Char">
    <w:name w:val="Heading 2 Char"/>
    <w:basedOn w:val="DefaultParagraphFont"/>
    <w:link w:val="Heading2"/>
    <w:uiPriority w:val="9"/>
    <w:semiHidden/>
    <w:rsid w:val="00392B2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392B21"/>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1667C6"/>
    <w:pPr>
      <w:tabs>
        <w:tab w:val="right" w:leader="dot" w:pos="9346"/>
      </w:tabs>
      <w:spacing w:after="120"/>
      <w:ind w:left="720" w:right="720" w:hanging="720"/>
      <w:jc w:val="left"/>
    </w:pPr>
  </w:style>
  <w:style w:type="paragraph" w:styleId="TOC2">
    <w:name w:val="toc 2"/>
    <w:basedOn w:val="Normal"/>
    <w:next w:val="Normal"/>
    <w:uiPriority w:val="39"/>
    <w:unhideWhenUsed/>
    <w:rsid w:val="001667C6"/>
    <w:pPr>
      <w:tabs>
        <w:tab w:val="right" w:leader="dot" w:pos="9350"/>
      </w:tabs>
      <w:spacing w:after="120"/>
      <w:ind w:left="1440" w:right="720" w:hanging="720"/>
      <w:jc w:val="left"/>
    </w:pPr>
  </w:style>
  <w:style w:type="paragraph" w:styleId="TOC3">
    <w:name w:val="toc 3"/>
    <w:basedOn w:val="Normal"/>
    <w:next w:val="Normal"/>
    <w:uiPriority w:val="39"/>
    <w:unhideWhenUsed/>
    <w:rsid w:val="001667C6"/>
    <w:pPr>
      <w:tabs>
        <w:tab w:val="left" w:pos="2160"/>
        <w:tab w:val="right" w:leader="dot" w:pos="9350"/>
      </w:tabs>
      <w:ind w:left="2160" w:right="720" w:hanging="720"/>
      <w:jc w:val="left"/>
    </w:pPr>
  </w:style>
  <w:style w:type="paragraph" w:styleId="TOC4">
    <w:name w:val="toc 4"/>
    <w:basedOn w:val="Normal"/>
    <w:next w:val="Normal"/>
    <w:uiPriority w:val="39"/>
    <w:unhideWhenUsed/>
    <w:rsid w:val="00392B21"/>
    <w:pPr>
      <w:tabs>
        <w:tab w:val="left" w:pos="2160"/>
        <w:tab w:val="right" w:leader="dot" w:pos="9350"/>
      </w:tabs>
      <w:ind w:left="2880" w:right="720" w:hanging="720"/>
    </w:pPr>
  </w:style>
  <w:style w:type="paragraph" w:styleId="TOC5">
    <w:name w:val="toc 5"/>
    <w:basedOn w:val="Normal"/>
    <w:next w:val="Normal"/>
    <w:uiPriority w:val="39"/>
    <w:unhideWhenUsed/>
    <w:rsid w:val="00AF5B5F"/>
    <w:pPr>
      <w:tabs>
        <w:tab w:val="left" w:pos="3600"/>
        <w:tab w:val="right" w:leader="dot" w:pos="9350"/>
      </w:tabs>
      <w:ind w:left="3600" w:right="720" w:hanging="720"/>
      <w:jc w:val="left"/>
    </w:pPr>
  </w:style>
  <w:style w:type="paragraph" w:styleId="TOC6">
    <w:name w:val="toc 6"/>
    <w:basedOn w:val="Normal"/>
    <w:next w:val="Normal"/>
    <w:uiPriority w:val="39"/>
    <w:unhideWhenUsed/>
    <w:rsid w:val="00AF5B5F"/>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AF5B5F"/>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AF5B5F"/>
    <w:pPr>
      <w:tabs>
        <w:tab w:val="left" w:pos="5760"/>
        <w:tab w:val="right" w:leader="dot" w:pos="9346"/>
      </w:tabs>
      <w:ind w:left="5760" w:right="720" w:hanging="720"/>
      <w:jc w:val="left"/>
    </w:pPr>
  </w:style>
  <w:style w:type="paragraph" w:styleId="TOC9">
    <w:name w:val="toc 9"/>
    <w:basedOn w:val="Normal"/>
    <w:next w:val="Normal"/>
    <w:uiPriority w:val="39"/>
    <w:unhideWhenUsed/>
    <w:rsid w:val="002908D6"/>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5E5CC0"/>
    <w:pPr>
      <w:keepNext/>
      <w:keepLines/>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8A6B00"/>
    <w:pPr>
      <w:spacing w:line="480" w:lineRule="auto"/>
      <w:ind w:left="720" w:hanging="720"/>
    </w:pPr>
  </w:style>
  <w:style w:type="paragraph" w:customStyle="1" w:styleId="CROutline1">
    <w:name w:val="CR Outline1"/>
    <w:next w:val="Normal"/>
    <w:qFormat/>
    <w:rsid w:val="00783EF8"/>
    <w:pPr>
      <w:keepNext/>
      <w:keepLines/>
      <w:numPr>
        <w:numId w:val="1"/>
      </w:numPr>
      <w:tabs>
        <w:tab w:val="left" w:pos="432"/>
      </w:tabs>
      <w:spacing w:after="240"/>
      <w:jc w:val="center"/>
      <w:outlineLvl w:val="0"/>
    </w:pPr>
    <w:rPr>
      <w:rFonts w:ascii="Times New Roman Bold" w:eastAsia="Times New Roman" w:hAnsi="Times New Roman Bold"/>
      <w:b/>
      <w:u w:val="single"/>
    </w:rPr>
  </w:style>
  <w:style w:type="paragraph" w:customStyle="1" w:styleId="CROutline2">
    <w:name w:val="CR Outline2"/>
    <w:next w:val="Normal"/>
    <w:qFormat/>
    <w:rsid w:val="005E5CC0"/>
    <w:pPr>
      <w:keepNext/>
      <w:keepLines/>
      <w:numPr>
        <w:ilvl w:val="1"/>
        <w:numId w:val="1"/>
      </w:numPr>
      <w:spacing w:after="240"/>
      <w:ind w:left="720"/>
      <w:outlineLvl w:val="1"/>
    </w:pPr>
    <w:rPr>
      <w:rFonts w:eastAsia="Times New Roman"/>
      <w:b/>
    </w:rPr>
  </w:style>
  <w:style w:type="paragraph" w:customStyle="1" w:styleId="CROutline3">
    <w:name w:val="CR Outline3"/>
    <w:next w:val="Normal"/>
    <w:qFormat/>
    <w:rsid w:val="005E5CC0"/>
    <w:pPr>
      <w:keepNext/>
      <w:keepLines/>
      <w:numPr>
        <w:ilvl w:val="2"/>
        <w:numId w:val="1"/>
      </w:numPr>
      <w:tabs>
        <w:tab w:val="clear" w:pos="-90"/>
        <w:tab w:val="left" w:pos="1440"/>
      </w:tabs>
      <w:spacing w:after="240"/>
      <w:ind w:left="1440"/>
      <w:outlineLvl w:val="2"/>
    </w:pPr>
    <w:rPr>
      <w:rFonts w:eastAsia="Times New Roman"/>
      <w:b/>
    </w:rPr>
  </w:style>
  <w:style w:type="paragraph" w:customStyle="1" w:styleId="CROutline4">
    <w:name w:val="CR Outline4"/>
    <w:next w:val="Normal"/>
    <w:rsid w:val="0053039F"/>
    <w:pPr>
      <w:numPr>
        <w:ilvl w:val="3"/>
        <w:numId w:val="1"/>
      </w:numPr>
      <w:tabs>
        <w:tab w:val="left" w:pos="2160"/>
      </w:tabs>
      <w:spacing w:after="240"/>
      <w:ind w:left="2160"/>
      <w:outlineLvl w:val="3"/>
    </w:pPr>
    <w:rPr>
      <w:rFonts w:eastAsia="Times New Roman"/>
      <w:b/>
    </w:rPr>
  </w:style>
  <w:style w:type="paragraph" w:customStyle="1" w:styleId="CROutline5">
    <w:name w:val="CR Outline5"/>
    <w:next w:val="Normal"/>
    <w:rsid w:val="00CD5CB4"/>
    <w:pPr>
      <w:numPr>
        <w:ilvl w:val="4"/>
        <w:numId w:val="1"/>
      </w:numPr>
      <w:spacing w:after="240"/>
      <w:ind w:left="2880"/>
      <w:outlineLvl w:val="4"/>
    </w:pPr>
    <w:rPr>
      <w:rFonts w:eastAsia="Times New Roman"/>
      <w:b/>
    </w:rPr>
  </w:style>
  <w:style w:type="paragraph" w:customStyle="1" w:styleId="CROutline6">
    <w:name w:val="CR Outline6"/>
    <w:next w:val="Normal"/>
    <w:rsid w:val="00CD5CB4"/>
    <w:pPr>
      <w:numPr>
        <w:ilvl w:val="5"/>
        <w:numId w:val="1"/>
      </w:numPr>
      <w:spacing w:after="240"/>
      <w:ind w:left="3600"/>
      <w:outlineLvl w:val="5"/>
    </w:pPr>
    <w:rPr>
      <w:rFonts w:eastAsia="Times New Roman"/>
      <w:b/>
    </w:rPr>
  </w:style>
  <w:style w:type="paragraph" w:customStyle="1" w:styleId="CROutline7">
    <w:name w:val="CR Outline7"/>
    <w:next w:val="Normal"/>
    <w:rsid w:val="00CD5CB4"/>
    <w:pPr>
      <w:numPr>
        <w:ilvl w:val="6"/>
        <w:numId w:val="1"/>
      </w:numPr>
      <w:spacing w:after="240"/>
      <w:ind w:left="4320"/>
      <w:outlineLvl w:val="6"/>
    </w:pPr>
    <w:rPr>
      <w:rFonts w:eastAsia="Times New Roman"/>
      <w:b/>
    </w:rPr>
  </w:style>
  <w:style w:type="paragraph" w:customStyle="1" w:styleId="CROutline8">
    <w:name w:val="CR Outline8"/>
    <w:next w:val="Normal"/>
    <w:rsid w:val="00CD5CB4"/>
    <w:pPr>
      <w:numPr>
        <w:ilvl w:val="7"/>
        <w:numId w:val="1"/>
      </w:numPr>
      <w:spacing w:after="240"/>
      <w:ind w:left="5040"/>
      <w:outlineLvl w:val="7"/>
    </w:pPr>
    <w:rPr>
      <w:rFonts w:eastAsia="Times New Roman"/>
      <w:b/>
    </w:rPr>
  </w:style>
  <w:style w:type="paragraph" w:customStyle="1" w:styleId="CROutline9">
    <w:name w:val="CR Outline9"/>
    <w:next w:val="Normal"/>
    <w:rsid w:val="00CD5CB4"/>
    <w:pPr>
      <w:numPr>
        <w:ilvl w:val="8"/>
        <w:numId w:val="1"/>
      </w:numPr>
      <w:spacing w:after="240"/>
      <w:ind w:left="5760"/>
      <w:outlineLvl w:val="8"/>
    </w:pPr>
    <w:rPr>
      <w:rFonts w:eastAsia="Times New Roman"/>
      <w:b/>
    </w:rPr>
  </w:style>
  <w:style w:type="paragraph" w:styleId="ListParagraph">
    <w:name w:val="List Paragraph"/>
    <w:basedOn w:val="Normal"/>
    <w:uiPriority w:val="34"/>
    <w:qFormat/>
    <w:rsid w:val="00584C91"/>
    <w:pPr>
      <w:numPr>
        <w:numId w:val="2"/>
      </w:numPr>
      <w:spacing w:after="240"/>
    </w:pPr>
  </w:style>
  <w:style w:type="paragraph" w:styleId="BodyText">
    <w:name w:val="Body Text"/>
    <w:basedOn w:val="Normal"/>
    <w:link w:val="BodyTextChar"/>
    <w:uiPriority w:val="99"/>
    <w:unhideWhenUsed/>
    <w:qFormat/>
    <w:rsid w:val="005E5CC0"/>
    <w:pPr>
      <w:spacing w:after="120" w:line="480" w:lineRule="auto"/>
    </w:pPr>
  </w:style>
  <w:style w:type="character" w:customStyle="1" w:styleId="BodyTextChar">
    <w:name w:val="Body Text Char"/>
    <w:basedOn w:val="DefaultParagraphFont"/>
    <w:link w:val="BodyText"/>
    <w:uiPriority w:val="99"/>
    <w:rsid w:val="005E5CC0"/>
  </w:style>
  <w:style w:type="paragraph" w:customStyle="1" w:styleId="BodyTextIndented">
    <w:name w:val="Body Text Indented"/>
    <w:basedOn w:val="Normal"/>
    <w:link w:val="BodyTextIndentedCharChar"/>
    <w:qFormat/>
    <w:rsid w:val="007B501E"/>
    <w:pPr>
      <w:tabs>
        <w:tab w:val="clear" w:pos="720"/>
      </w:tabs>
      <w:spacing w:before="120" w:line="480" w:lineRule="auto"/>
      <w:ind w:firstLine="720"/>
    </w:pPr>
    <w:rPr>
      <w:rFonts w:eastAsia="SimSun"/>
      <w:lang w:eastAsia="zh-CN"/>
    </w:rPr>
  </w:style>
  <w:style w:type="character" w:customStyle="1" w:styleId="BodyTextIndentedCharChar">
    <w:name w:val="Body Text Indented Char Char"/>
    <w:basedOn w:val="DefaultParagraphFont"/>
    <w:link w:val="BodyTextIndented"/>
    <w:rsid w:val="007B501E"/>
    <w:rPr>
      <w:rFonts w:eastAsia="SimSun"/>
      <w:lang w:eastAsia="zh-CN"/>
    </w:rPr>
  </w:style>
  <w:style w:type="character" w:styleId="Hyperlink">
    <w:name w:val="Hyperlink"/>
    <w:basedOn w:val="DefaultParagraphFont"/>
    <w:uiPriority w:val="99"/>
    <w:unhideWhenUsed/>
    <w:rsid w:val="007B501E"/>
    <w:rPr>
      <w:color w:val="0563C1" w:themeColor="hyperlink"/>
      <w:u w:val="single"/>
    </w:rPr>
  </w:style>
  <w:style w:type="paragraph" w:styleId="Header">
    <w:name w:val="header"/>
    <w:basedOn w:val="Normal"/>
    <w:link w:val="HeaderChar"/>
    <w:uiPriority w:val="99"/>
    <w:unhideWhenUsed/>
    <w:rsid w:val="00CF30A4"/>
    <w:pPr>
      <w:tabs>
        <w:tab w:val="clear" w:pos="720"/>
        <w:tab w:val="center" w:pos="4680"/>
        <w:tab w:val="right" w:pos="9360"/>
      </w:tabs>
    </w:pPr>
  </w:style>
  <w:style w:type="character" w:customStyle="1" w:styleId="HeaderChar">
    <w:name w:val="Header Char"/>
    <w:basedOn w:val="DefaultParagraphFont"/>
    <w:link w:val="Header"/>
    <w:uiPriority w:val="99"/>
    <w:rsid w:val="00CF30A4"/>
  </w:style>
  <w:style w:type="paragraph" w:styleId="Footer">
    <w:name w:val="footer"/>
    <w:basedOn w:val="Normal"/>
    <w:link w:val="FooterChar"/>
    <w:uiPriority w:val="99"/>
    <w:unhideWhenUsed/>
    <w:rsid w:val="00CF30A4"/>
    <w:pPr>
      <w:tabs>
        <w:tab w:val="clear" w:pos="720"/>
        <w:tab w:val="center" w:pos="4680"/>
        <w:tab w:val="right" w:pos="9360"/>
      </w:tabs>
    </w:pPr>
  </w:style>
  <w:style w:type="character" w:customStyle="1" w:styleId="FooterChar">
    <w:name w:val="Footer Char"/>
    <w:basedOn w:val="DefaultParagraphFont"/>
    <w:link w:val="Footer"/>
    <w:uiPriority w:val="99"/>
    <w:rsid w:val="00CF30A4"/>
  </w:style>
  <w:style w:type="character" w:styleId="CommentReference">
    <w:name w:val="annotation reference"/>
    <w:basedOn w:val="DefaultParagraphFont"/>
    <w:uiPriority w:val="99"/>
    <w:semiHidden/>
    <w:unhideWhenUsed/>
    <w:rsid w:val="00EF01C4"/>
    <w:rPr>
      <w:sz w:val="16"/>
      <w:szCs w:val="16"/>
    </w:rPr>
  </w:style>
  <w:style w:type="paragraph" w:styleId="CommentText">
    <w:name w:val="annotation text"/>
    <w:basedOn w:val="Normal"/>
    <w:link w:val="CommentTextChar"/>
    <w:uiPriority w:val="99"/>
    <w:semiHidden/>
    <w:unhideWhenUsed/>
    <w:rsid w:val="00EF01C4"/>
    <w:rPr>
      <w:sz w:val="20"/>
      <w:szCs w:val="20"/>
    </w:rPr>
  </w:style>
  <w:style w:type="character" w:customStyle="1" w:styleId="CommentTextChar">
    <w:name w:val="Comment Text Char"/>
    <w:basedOn w:val="DefaultParagraphFont"/>
    <w:link w:val="CommentText"/>
    <w:uiPriority w:val="99"/>
    <w:semiHidden/>
    <w:rsid w:val="00EF01C4"/>
    <w:rPr>
      <w:sz w:val="20"/>
      <w:szCs w:val="20"/>
    </w:rPr>
  </w:style>
  <w:style w:type="paragraph" w:styleId="CommentSubject">
    <w:name w:val="annotation subject"/>
    <w:basedOn w:val="CommentText"/>
    <w:next w:val="CommentText"/>
    <w:link w:val="CommentSubjectChar"/>
    <w:uiPriority w:val="99"/>
    <w:semiHidden/>
    <w:unhideWhenUsed/>
    <w:rsid w:val="00EF01C4"/>
    <w:rPr>
      <w:b/>
      <w:bCs/>
    </w:rPr>
  </w:style>
  <w:style w:type="character" w:customStyle="1" w:styleId="CommentSubjectChar">
    <w:name w:val="Comment Subject Char"/>
    <w:basedOn w:val="CommentTextChar"/>
    <w:link w:val="CommentSubject"/>
    <w:uiPriority w:val="99"/>
    <w:semiHidden/>
    <w:rsid w:val="00EF01C4"/>
    <w:rPr>
      <w:b/>
      <w:bCs/>
      <w:sz w:val="20"/>
      <w:szCs w:val="20"/>
    </w:rPr>
  </w:style>
  <w:style w:type="character" w:styleId="UnresolvedMention">
    <w:name w:val="Unresolved Mention"/>
    <w:basedOn w:val="DefaultParagraphFont"/>
    <w:uiPriority w:val="99"/>
    <w:semiHidden/>
    <w:unhideWhenUsed/>
    <w:rsid w:val="00EF4661"/>
    <w:rPr>
      <w:color w:val="605E5C"/>
      <w:shd w:val="clear" w:color="auto" w:fill="E1DFDD"/>
    </w:rPr>
  </w:style>
  <w:style w:type="table" w:styleId="TableGrid">
    <w:name w:val="Table Grid"/>
    <w:basedOn w:val="TableNormal"/>
    <w:uiPriority w:val="39"/>
    <w:rsid w:val="00201F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811929">
      <w:bodyDiv w:val="1"/>
      <w:marLeft w:val="0"/>
      <w:marRight w:val="0"/>
      <w:marTop w:val="0"/>
      <w:marBottom w:val="0"/>
      <w:divBdr>
        <w:top w:val="none" w:sz="0" w:space="0" w:color="auto"/>
        <w:left w:val="none" w:sz="0" w:space="0" w:color="auto"/>
        <w:bottom w:val="none" w:sz="0" w:space="0" w:color="auto"/>
        <w:right w:val="none" w:sz="0" w:space="0" w:color="auto"/>
      </w:divBdr>
    </w:div>
    <w:div w:id="851845961">
      <w:bodyDiv w:val="1"/>
      <w:marLeft w:val="0"/>
      <w:marRight w:val="0"/>
      <w:marTop w:val="0"/>
      <w:marBottom w:val="0"/>
      <w:divBdr>
        <w:top w:val="none" w:sz="0" w:space="0" w:color="auto"/>
        <w:left w:val="none" w:sz="0" w:space="0" w:color="auto"/>
        <w:bottom w:val="none" w:sz="0" w:space="0" w:color="auto"/>
        <w:right w:val="none" w:sz="0" w:space="0" w:color="auto"/>
      </w:divBdr>
    </w:div>
    <w:div w:id="1719939529">
      <w:bodyDiv w:val="1"/>
      <w:marLeft w:val="0"/>
      <w:marRight w:val="0"/>
      <w:marTop w:val="0"/>
      <w:marBottom w:val="0"/>
      <w:divBdr>
        <w:top w:val="none" w:sz="0" w:space="0" w:color="auto"/>
        <w:left w:val="none" w:sz="0" w:space="0" w:color="auto"/>
        <w:bottom w:val="none" w:sz="0" w:space="0" w:color="auto"/>
        <w:right w:val="none" w:sz="0" w:space="0" w:color="auto"/>
      </w:divBdr>
    </w:div>
    <w:div w:id="196110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3A56E-2441-4EEF-A784-D77049C93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1474</Words>
  <Characters>8403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2021-01-21T20:24:00Z</dcterms:created>
  <dcterms:modified xsi:type="dcterms:W3CDTF">2021-01-25T19:39:00Z</dcterms:modified>
</cp:coreProperties>
</file>